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6C" w:rsidRDefault="0054316C" w:rsidP="0054316C">
      <w:pPr>
        <w:jc w:val="right"/>
      </w:pPr>
    </w:p>
    <w:p w:rsidR="0054316C" w:rsidRPr="00F10DDD" w:rsidRDefault="0054316C" w:rsidP="0054316C">
      <w:pPr>
        <w:jc w:val="right"/>
      </w:pPr>
      <w:r w:rsidRPr="00F10DDD">
        <w:t xml:space="preserve">Приложение </w:t>
      </w:r>
      <w:r w:rsidR="007409DA" w:rsidRPr="00F10DDD">
        <w:t>3</w:t>
      </w:r>
    </w:p>
    <w:p w:rsidR="0054316C" w:rsidRPr="00F10DDD" w:rsidRDefault="0054316C" w:rsidP="0054316C">
      <w:pPr>
        <w:jc w:val="right"/>
      </w:pPr>
      <w:r w:rsidRPr="00F10DDD">
        <w:t xml:space="preserve">             к решению Собрания депутатов</w:t>
      </w:r>
    </w:p>
    <w:p w:rsidR="0054316C" w:rsidRPr="00F10DDD" w:rsidRDefault="0054316C" w:rsidP="0054316C">
      <w:pPr>
        <w:jc w:val="right"/>
      </w:pPr>
      <w:r w:rsidRPr="00F10DDD">
        <w:t xml:space="preserve">Первомайского сельского поселения «О внесении </w:t>
      </w:r>
    </w:p>
    <w:p w:rsidR="0054316C" w:rsidRPr="00F10DDD" w:rsidRDefault="0054316C" w:rsidP="0054316C">
      <w:pPr>
        <w:jc w:val="right"/>
      </w:pPr>
      <w:r w:rsidRPr="00F10DDD">
        <w:t>изменений в решение Собрания депутатов Первомайского</w:t>
      </w:r>
    </w:p>
    <w:p w:rsidR="0054316C" w:rsidRPr="00F10DDD" w:rsidRDefault="0054316C" w:rsidP="0054316C">
      <w:pPr>
        <w:jc w:val="right"/>
      </w:pPr>
      <w:r w:rsidRPr="00F10DDD">
        <w:t xml:space="preserve"> сельского поселения от  2</w:t>
      </w:r>
      <w:r w:rsidR="00D83E9C" w:rsidRPr="00F10DDD">
        <w:t>4</w:t>
      </w:r>
      <w:r w:rsidRPr="00F10DDD">
        <w:t>.12.201</w:t>
      </w:r>
      <w:r w:rsidR="00D83E9C" w:rsidRPr="00F10DDD">
        <w:t>3 года № 70</w:t>
      </w:r>
    </w:p>
    <w:p w:rsidR="0054316C" w:rsidRPr="00F10DDD" w:rsidRDefault="0054316C" w:rsidP="0054316C">
      <w:pPr>
        <w:jc w:val="right"/>
      </w:pPr>
      <w:r w:rsidRPr="00F10DDD">
        <w:t xml:space="preserve"> «О  бюджете Первомайского сельского поселения </w:t>
      </w:r>
    </w:p>
    <w:p w:rsidR="0054316C" w:rsidRPr="00F10DDD" w:rsidRDefault="00D83E9C" w:rsidP="0054316C">
      <w:pPr>
        <w:jc w:val="right"/>
      </w:pPr>
      <w:r w:rsidRPr="00F10DDD">
        <w:t>Миллеровского района на 2014</w:t>
      </w:r>
      <w:r w:rsidR="0054316C" w:rsidRPr="00F10DDD">
        <w:t xml:space="preserve"> год и на плановый период</w:t>
      </w:r>
    </w:p>
    <w:p w:rsidR="0054316C" w:rsidRPr="00F10DDD" w:rsidRDefault="0054316C" w:rsidP="00E97E26">
      <w:pPr>
        <w:jc w:val="right"/>
      </w:pPr>
      <w:r w:rsidRPr="00F10DDD">
        <w:t xml:space="preserve">       </w:t>
      </w:r>
      <w:r w:rsidR="00D83E9C" w:rsidRPr="00F10DDD">
        <w:t xml:space="preserve">                            2015 и 2016</w:t>
      </w:r>
      <w:r w:rsidRPr="00F10DDD">
        <w:t>годов»</w:t>
      </w:r>
    </w:p>
    <w:p w:rsidR="009369A2" w:rsidRPr="00F10DDD" w:rsidRDefault="009369A2"/>
    <w:tbl>
      <w:tblPr>
        <w:tblpPr w:leftFromText="180" w:rightFromText="180" w:vertAnchor="text" w:tblpXSpec="right" w:tblpY="1"/>
        <w:tblOverlap w:val="never"/>
        <w:tblW w:w="18721" w:type="dxa"/>
        <w:tblInd w:w="395" w:type="dxa"/>
        <w:tblLook w:val="04A0"/>
      </w:tblPr>
      <w:tblGrid>
        <w:gridCol w:w="18721"/>
      </w:tblGrid>
      <w:tr w:rsidR="009369A2" w:rsidRPr="00F10DDD" w:rsidTr="00E97E26">
        <w:trPr>
          <w:trHeight w:val="360"/>
        </w:trPr>
        <w:tc>
          <w:tcPr>
            <w:tcW w:w="18721" w:type="dxa"/>
            <w:tcBorders>
              <w:top w:val="nil"/>
              <w:left w:val="nil"/>
              <w:bottom w:val="nil"/>
              <w:right w:val="nil"/>
            </w:tcBorders>
            <w:shd w:val="clear" w:color="auto" w:fill="auto"/>
          </w:tcPr>
          <w:p w:rsidR="009369A2" w:rsidRPr="00F10DDD" w:rsidRDefault="009369A2" w:rsidP="00E97E26">
            <w:pPr>
              <w:ind w:firstLine="1134"/>
              <w:jc w:val="right"/>
              <w:rPr>
                <w:snapToGrid w:val="0"/>
              </w:rPr>
            </w:pPr>
            <w:r w:rsidRPr="00F10DDD">
              <w:rPr>
                <w:snapToGrid w:val="0"/>
              </w:rPr>
              <w:t>Приложение 12</w:t>
            </w:r>
          </w:p>
          <w:p w:rsidR="009369A2" w:rsidRPr="00F10DDD" w:rsidRDefault="009369A2" w:rsidP="00E97E26">
            <w:pPr>
              <w:ind w:firstLine="1134"/>
              <w:jc w:val="right"/>
              <w:rPr>
                <w:snapToGrid w:val="0"/>
              </w:rPr>
            </w:pPr>
            <w:r w:rsidRPr="00F10DDD">
              <w:rPr>
                <w:snapToGrid w:val="0"/>
              </w:rPr>
              <w:t>к решению Собрания депутатов</w:t>
            </w:r>
          </w:p>
          <w:p w:rsidR="009369A2" w:rsidRPr="00F10DDD" w:rsidRDefault="009369A2" w:rsidP="00E97E26">
            <w:pPr>
              <w:jc w:val="right"/>
              <w:rPr>
                <w:snapToGrid w:val="0"/>
              </w:rPr>
            </w:pPr>
            <w:r w:rsidRPr="00F10DDD">
              <w:rPr>
                <w:snapToGrid w:val="0"/>
              </w:rPr>
              <w:t>Первомайского сельского поселения</w:t>
            </w:r>
          </w:p>
          <w:p w:rsidR="009369A2" w:rsidRPr="00F10DDD" w:rsidRDefault="009369A2" w:rsidP="00E97E26">
            <w:pPr>
              <w:jc w:val="right"/>
              <w:rPr>
                <w:snapToGrid w:val="0"/>
              </w:rPr>
            </w:pPr>
            <w:r w:rsidRPr="00F10DDD">
              <w:rPr>
                <w:snapToGrid w:val="0"/>
              </w:rPr>
              <w:t xml:space="preserve"> «О бюджете Первомайского сельского поселения</w:t>
            </w:r>
          </w:p>
          <w:p w:rsidR="009369A2" w:rsidRPr="00F10DDD" w:rsidRDefault="009369A2" w:rsidP="00E97E26">
            <w:pPr>
              <w:jc w:val="right"/>
              <w:rPr>
                <w:snapToGrid w:val="0"/>
              </w:rPr>
            </w:pPr>
            <w:r w:rsidRPr="00F10DDD">
              <w:rPr>
                <w:snapToGrid w:val="0"/>
              </w:rPr>
              <w:t xml:space="preserve"> Миллеровского района на 2014 год и на плановый период </w:t>
            </w:r>
          </w:p>
          <w:p w:rsidR="009369A2" w:rsidRPr="00F10DDD" w:rsidRDefault="009369A2" w:rsidP="00E97E26">
            <w:pPr>
              <w:jc w:val="right"/>
              <w:rPr>
                <w:b/>
                <w:bCs/>
              </w:rPr>
            </w:pPr>
            <w:r w:rsidRPr="00F10DDD">
              <w:rPr>
                <w:snapToGrid w:val="0"/>
              </w:rPr>
              <w:t>2015 и 2016 годов»</w:t>
            </w:r>
          </w:p>
        </w:tc>
      </w:tr>
    </w:tbl>
    <w:p w:rsidR="009369A2" w:rsidRPr="00F10DDD" w:rsidRDefault="009369A2" w:rsidP="009369A2">
      <w:pPr>
        <w:tabs>
          <w:tab w:val="left" w:pos="7590"/>
          <w:tab w:val="right" w:pos="10431"/>
        </w:tabs>
      </w:pPr>
      <w:r w:rsidRPr="00F10DDD">
        <w:t xml:space="preserve">                                                                  </w:t>
      </w:r>
    </w:p>
    <w:tbl>
      <w:tblPr>
        <w:tblW w:w="12597" w:type="dxa"/>
        <w:tblInd w:w="-34" w:type="dxa"/>
        <w:tblLook w:val="04A0"/>
      </w:tblPr>
      <w:tblGrid>
        <w:gridCol w:w="11057"/>
        <w:gridCol w:w="1540"/>
      </w:tblGrid>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Распределение бюджетных ассигнований</w:t>
            </w:r>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ind w:hanging="250"/>
              <w:jc w:val="center"/>
              <w:rPr>
                <w:b/>
                <w:bCs/>
              </w:rPr>
            </w:pPr>
            <w:proofErr w:type="gramStart"/>
            <w:r w:rsidRPr="00F10DDD">
              <w:rPr>
                <w:b/>
                <w:bCs/>
              </w:rPr>
              <w:t>по целевым статьям (муниципальным программам Первомайского сельского</w:t>
            </w:r>
            <w:proofErr w:type="gramEnd"/>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 xml:space="preserve">поселения и </w:t>
            </w:r>
            <w:proofErr w:type="spellStart"/>
            <w:r w:rsidRPr="00F10DDD">
              <w:rPr>
                <w:b/>
                <w:bCs/>
              </w:rPr>
              <w:t>непрограммным</w:t>
            </w:r>
            <w:proofErr w:type="spellEnd"/>
            <w:r w:rsidRPr="00F10DDD">
              <w:rPr>
                <w:b/>
                <w:bCs/>
              </w:rPr>
              <w:t xml:space="preserve"> направлениям деятельности),</w:t>
            </w:r>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группам  и подгруппам видов расходов, разделам, подразделам</w:t>
            </w:r>
          </w:p>
        </w:tc>
      </w:tr>
      <w:tr w:rsidR="009369A2" w:rsidRPr="00F10DDD" w:rsidTr="00E97E26">
        <w:trPr>
          <w:trHeight w:val="360"/>
        </w:trPr>
        <w:tc>
          <w:tcPr>
            <w:tcW w:w="12597" w:type="dxa"/>
            <w:gridSpan w:val="2"/>
            <w:tcBorders>
              <w:top w:val="nil"/>
              <w:left w:val="nil"/>
              <w:bottom w:val="nil"/>
              <w:right w:val="nil"/>
            </w:tcBorders>
            <w:shd w:val="clear" w:color="auto" w:fill="auto"/>
          </w:tcPr>
          <w:p w:rsidR="009369A2" w:rsidRPr="00F10DDD" w:rsidRDefault="009369A2" w:rsidP="00E97E26">
            <w:pPr>
              <w:rPr>
                <w:b/>
                <w:bCs/>
              </w:rPr>
            </w:pPr>
            <w:r w:rsidRPr="00F10DDD">
              <w:rPr>
                <w:b/>
                <w:bCs/>
              </w:rPr>
              <w:t xml:space="preserve">                                      классификации расходов  бюджетов  на 2014 год</w:t>
            </w:r>
          </w:p>
          <w:tbl>
            <w:tblPr>
              <w:tblW w:w="11585" w:type="dxa"/>
              <w:tblLook w:val="04A0"/>
            </w:tblPr>
            <w:tblGrid>
              <w:gridCol w:w="6328"/>
              <w:gridCol w:w="1503"/>
              <w:gridCol w:w="636"/>
              <w:gridCol w:w="605"/>
              <w:gridCol w:w="605"/>
              <w:gridCol w:w="1196"/>
              <w:gridCol w:w="356"/>
              <w:gridCol w:w="356"/>
            </w:tblGrid>
            <w:tr w:rsidR="009369A2" w:rsidRPr="00F10DDD" w:rsidTr="00F10DDD">
              <w:trPr>
                <w:trHeight w:val="263"/>
              </w:trPr>
              <w:tc>
                <w:tcPr>
                  <w:tcW w:w="6328" w:type="dxa"/>
                  <w:tcBorders>
                    <w:top w:val="nil"/>
                    <w:left w:val="nil"/>
                    <w:bottom w:val="nil"/>
                    <w:right w:val="nil"/>
                  </w:tcBorders>
                  <w:shd w:val="clear" w:color="auto" w:fill="auto"/>
                  <w:hideMark/>
                </w:tcPr>
                <w:p w:rsidR="009369A2" w:rsidRPr="00F10DDD" w:rsidRDefault="009369A2" w:rsidP="00E97E26">
                  <w:bookmarkStart w:id="0" w:name="RANGE!A1:F70"/>
                  <w:bookmarkEnd w:id="0"/>
                </w:p>
              </w:tc>
              <w:tc>
                <w:tcPr>
                  <w:tcW w:w="1503" w:type="dxa"/>
                  <w:tcBorders>
                    <w:top w:val="nil"/>
                    <w:left w:val="nil"/>
                    <w:bottom w:val="nil"/>
                    <w:right w:val="nil"/>
                  </w:tcBorders>
                  <w:shd w:val="clear" w:color="auto" w:fill="auto"/>
                  <w:hideMark/>
                </w:tcPr>
                <w:p w:rsidR="009369A2" w:rsidRPr="00F10DDD" w:rsidRDefault="009369A2" w:rsidP="00E97E26"/>
              </w:tc>
              <w:tc>
                <w:tcPr>
                  <w:tcW w:w="3042" w:type="dxa"/>
                  <w:gridSpan w:val="4"/>
                  <w:tcBorders>
                    <w:top w:val="nil"/>
                    <w:left w:val="nil"/>
                    <w:bottom w:val="single" w:sz="4" w:space="0" w:color="auto"/>
                    <w:right w:val="nil"/>
                  </w:tcBorders>
                  <w:shd w:val="clear" w:color="auto" w:fill="auto"/>
                  <w:hideMark/>
                </w:tcPr>
                <w:p w:rsidR="009369A2" w:rsidRPr="00F10DDD" w:rsidRDefault="009369A2" w:rsidP="00E97E26">
                  <w:pPr>
                    <w:jc w:val="right"/>
                    <w:rPr>
                      <w:b/>
                      <w:bCs/>
                    </w:rPr>
                  </w:pPr>
                </w:p>
                <w:p w:rsidR="009369A2" w:rsidRPr="00F10DDD" w:rsidRDefault="009369A2" w:rsidP="00E97E26">
                  <w:pPr>
                    <w:jc w:val="right"/>
                    <w:rPr>
                      <w:b/>
                      <w:bCs/>
                    </w:rPr>
                  </w:pPr>
                  <w:r w:rsidRPr="00F10DDD">
                    <w:rPr>
                      <w:b/>
                      <w:bCs/>
                    </w:rPr>
                    <w:t>(тыс. рублей)</w:t>
                  </w:r>
                </w:p>
              </w:tc>
              <w:tc>
                <w:tcPr>
                  <w:tcW w:w="356" w:type="dxa"/>
                  <w:tcBorders>
                    <w:top w:val="nil"/>
                    <w:left w:val="nil"/>
                    <w:bottom w:val="nil"/>
                    <w:right w:val="nil"/>
                  </w:tcBorders>
                  <w:shd w:val="clear" w:color="auto" w:fill="auto"/>
                  <w:hideMark/>
                </w:tcPr>
                <w:p w:rsidR="009369A2" w:rsidRPr="00F10DDD" w:rsidRDefault="009369A2" w:rsidP="00E97E26">
                  <w:pPr>
                    <w:rPr>
                      <w:color w:val="CCFFFF"/>
                    </w:rPr>
                  </w:pPr>
                </w:p>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E97E26">
              <w:trPr>
                <w:trHeight w:val="375"/>
              </w:trPr>
              <w:tc>
                <w:tcPr>
                  <w:tcW w:w="6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Наименование</w:t>
                  </w:r>
                </w:p>
              </w:tc>
              <w:tc>
                <w:tcPr>
                  <w:tcW w:w="1503" w:type="dxa"/>
                  <w:tcBorders>
                    <w:top w:val="single" w:sz="4" w:space="0" w:color="auto"/>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ЦСР</w:t>
                  </w:r>
                </w:p>
              </w:tc>
              <w:tc>
                <w:tcPr>
                  <w:tcW w:w="636"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proofErr w:type="spellStart"/>
                  <w:r w:rsidRPr="00F10DDD">
                    <w:rPr>
                      <w:b/>
                      <w:bCs/>
                      <w:color w:val="000000"/>
                    </w:rPr>
                    <w:t>Рз</w:t>
                  </w:r>
                  <w:proofErr w:type="spellEnd"/>
                </w:p>
              </w:tc>
              <w:tc>
                <w:tcPr>
                  <w:tcW w:w="605"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proofErr w:type="gramStart"/>
                  <w:r w:rsidRPr="00F10DDD">
                    <w:rPr>
                      <w:b/>
                      <w:bCs/>
                      <w:color w:val="000000"/>
                    </w:rPr>
                    <w:t>ПР</w:t>
                  </w:r>
                  <w:proofErr w:type="gramEnd"/>
                </w:p>
              </w:tc>
              <w:tc>
                <w:tcPr>
                  <w:tcW w:w="1196"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Сумма</w:t>
                  </w:r>
                </w:p>
              </w:tc>
              <w:tc>
                <w:tcPr>
                  <w:tcW w:w="356" w:type="dxa"/>
                  <w:tcBorders>
                    <w:top w:val="nil"/>
                    <w:left w:val="nil"/>
                    <w:bottom w:val="nil"/>
                    <w:right w:val="nil"/>
                  </w:tcBorders>
                  <w:shd w:val="clear" w:color="auto" w:fill="auto"/>
                  <w:hideMark/>
                </w:tcPr>
                <w:p w:rsidR="009369A2" w:rsidRPr="00F10DDD" w:rsidRDefault="009369A2" w:rsidP="00E97E26">
                  <w:pPr>
                    <w:rPr>
                      <w:color w:val="CCFFFF"/>
                    </w:rPr>
                  </w:pPr>
                </w:p>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296"/>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1</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6</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28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r w:rsidRPr="00F10DDD">
                    <w:t>ВСЕГО</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11</w:t>
                  </w:r>
                  <w:r w:rsidR="001547EB" w:rsidRPr="00F10DDD">
                    <w:t> 707,7</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1112"/>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r w:rsidRPr="00F10DDD">
                    <w:t>Муниципальная программа Первомайского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01 0 0000</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4</w:t>
                  </w:r>
                  <w:r w:rsidR="001547EB" w:rsidRPr="00F10DDD">
                    <w:t> 095,9</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561"/>
              </w:trPr>
              <w:tc>
                <w:tcPr>
                  <w:tcW w:w="6328" w:type="dxa"/>
                  <w:tcBorders>
                    <w:top w:val="nil"/>
                    <w:left w:val="single" w:sz="4" w:space="0" w:color="auto"/>
                    <w:bottom w:val="single" w:sz="4" w:space="0" w:color="auto"/>
                    <w:right w:val="single" w:sz="4" w:space="0" w:color="auto"/>
                  </w:tcBorders>
                  <w:shd w:val="clear" w:color="auto" w:fill="auto"/>
                  <w:hideMark/>
                </w:tcPr>
                <w:p w:rsidR="00E136C5" w:rsidRPr="00F10DDD" w:rsidRDefault="009369A2" w:rsidP="00F10DDD">
                  <w:r w:rsidRPr="00F10DDD">
                    <w:t>Подпрограмма "Нормативно-методическое обеспечение и организация бюджетного процесса"</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01 2 0000</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4</w:t>
                  </w:r>
                  <w:r w:rsidR="001547EB" w:rsidRPr="00F10DDD">
                    <w:t> 095,9</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E97E26" w:rsidRPr="00F10DDD" w:rsidTr="00C8002D">
              <w:trPr>
                <w:trHeight w:val="2823"/>
              </w:trPr>
              <w:tc>
                <w:tcPr>
                  <w:tcW w:w="6328" w:type="dxa"/>
                  <w:tcBorders>
                    <w:top w:val="nil"/>
                    <w:left w:val="single" w:sz="4" w:space="0" w:color="auto"/>
                    <w:bottom w:val="single" w:sz="4" w:space="0" w:color="auto"/>
                    <w:right w:val="single" w:sz="4" w:space="0" w:color="auto"/>
                  </w:tcBorders>
                  <w:shd w:val="clear" w:color="auto" w:fill="auto"/>
                  <w:hideMark/>
                </w:tcPr>
                <w:p w:rsidR="00F10DDD" w:rsidRDefault="00E97E26" w:rsidP="00C8002D">
                  <w:r w:rsidRPr="00F10DDD">
                    <w:t xml:space="preserve">Расходы на выплаты по оплате </w:t>
                  </w:r>
                  <w:proofErr w:type="gramStart"/>
                  <w:r w:rsidRPr="00F10DDD">
                    <w:t>труда работников органов местного самоуправления Первомайского сельского поселения</w:t>
                  </w:r>
                  <w:proofErr w:type="gramEnd"/>
                  <w:r w:rsidRPr="00F10DDD">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Pr="00F10DDD" w:rsidRDefault="00C8002D" w:rsidP="00C8002D"/>
              </w:tc>
              <w:tc>
                <w:tcPr>
                  <w:tcW w:w="1503"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01 2 0011</w:t>
                  </w:r>
                </w:p>
              </w:tc>
              <w:tc>
                <w:tcPr>
                  <w:tcW w:w="636"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E97E26" w:rsidRPr="00F10DDD" w:rsidRDefault="00E97E26" w:rsidP="00E97E26">
                  <w:pPr>
                    <w:jc w:val="right"/>
                  </w:pPr>
                  <w:r w:rsidRPr="00F10DDD">
                    <w:t>893,0</w:t>
                  </w:r>
                </w:p>
              </w:tc>
              <w:tc>
                <w:tcPr>
                  <w:tcW w:w="356" w:type="dxa"/>
                  <w:tcBorders>
                    <w:top w:val="nil"/>
                    <w:left w:val="nil"/>
                    <w:bottom w:val="nil"/>
                    <w:right w:val="nil"/>
                  </w:tcBorders>
                  <w:shd w:val="clear" w:color="auto" w:fill="auto"/>
                  <w:hideMark/>
                </w:tcPr>
                <w:p w:rsidR="00E97E26" w:rsidRPr="00F10DDD" w:rsidRDefault="00E97E26" w:rsidP="00E97E26"/>
              </w:tc>
              <w:tc>
                <w:tcPr>
                  <w:tcW w:w="356" w:type="dxa"/>
                  <w:tcBorders>
                    <w:top w:val="nil"/>
                    <w:left w:val="nil"/>
                    <w:bottom w:val="nil"/>
                    <w:right w:val="nil"/>
                  </w:tcBorders>
                  <w:shd w:val="clear" w:color="auto" w:fill="auto"/>
                  <w:hideMark/>
                </w:tcPr>
                <w:p w:rsidR="00E97E26" w:rsidRPr="00F10DDD" w:rsidRDefault="00E97E26" w:rsidP="00E97E26"/>
              </w:tc>
            </w:tr>
            <w:tr w:rsidR="00F10DDD" w:rsidRPr="00F10DDD" w:rsidTr="00F10DD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6</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831"/>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 xml:space="preserve">Расходы на выплаты по оплате </w:t>
                  </w:r>
                  <w:proofErr w:type="gramStart"/>
                  <w:r w:rsidRPr="00F10DDD">
                    <w:t>труда работников органов местного самоуправления Первомайского сельского поселения</w:t>
                  </w:r>
                  <w:proofErr w:type="gramEnd"/>
                  <w:r w:rsidRPr="00F10DDD">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01 2 0011</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2 510,7</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545"/>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14,0</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823"/>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532,4</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538"/>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850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2,4</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755"/>
              </w:trPr>
              <w:tc>
                <w:tcPr>
                  <w:tcW w:w="6328" w:type="dxa"/>
                  <w:tcBorders>
                    <w:top w:val="nil"/>
                    <w:left w:val="single" w:sz="4" w:space="0" w:color="auto"/>
                    <w:bottom w:val="single" w:sz="4" w:space="0" w:color="auto"/>
                    <w:right w:val="single" w:sz="4" w:space="0" w:color="auto"/>
                  </w:tcBorders>
                  <w:shd w:val="clear" w:color="auto" w:fill="auto"/>
                  <w:hideMark/>
                </w:tcPr>
                <w:p w:rsidR="00F10DDD" w:rsidRDefault="00F10DDD" w:rsidP="00E97E26">
                  <w:r w:rsidRPr="00F10DDD">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F10DDD" w:rsidRDefault="00F10DDD" w:rsidP="00E97E26"/>
                <w:p w:rsidR="00F10DDD" w:rsidRDefault="00F10DDD" w:rsidP="00E97E26"/>
                <w:p w:rsidR="00F10DDD" w:rsidRPr="00F10DDD" w:rsidRDefault="00F10DDD" w:rsidP="00E97E26"/>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01 2 2915</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13,4</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6</w:t>
                  </w:r>
                </w:p>
              </w:tc>
              <w:tc>
                <w:tcPr>
                  <w:tcW w:w="356" w:type="dxa"/>
                  <w:tcBorders>
                    <w:top w:val="nil"/>
                    <w:left w:val="nil"/>
                    <w:bottom w:val="nil"/>
                    <w:right w:val="nil"/>
                  </w:tcBorders>
                  <w:shd w:val="clear" w:color="auto" w:fill="auto"/>
                  <w:hideMark/>
                </w:tcPr>
                <w:p w:rsidR="00F10DDD" w:rsidRPr="00F10DDD" w:rsidRDefault="00F10DDD" w:rsidP="003F488F">
                  <w:pPr>
                    <w:jc w:val="center"/>
                    <w:rPr>
                      <w:b/>
                    </w:rPr>
                  </w:pPr>
                </w:p>
              </w:tc>
              <w:tc>
                <w:tcPr>
                  <w:tcW w:w="356" w:type="dxa"/>
                  <w:tcBorders>
                    <w:top w:val="nil"/>
                    <w:left w:val="nil"/>
                    <w:bottom w:val="nil"/>
                    <w:right w:val="nil"/>
                  </w:tcBorders>
                  <w:shd w:val="clear" w:color="auto" w:fill="auto"/>
                  <w:hideMark/>
                </w:tcPr>
                <w:p w:rsidR="00F10DDD" w:rsidRPr="00F10DDD" w:rsidRDefault="00F10DDD" w:rsidP="003F488F">
                  <w:pPr>
                    <w:jc w:val="center"/>
                    <w:rPr>
                      <w:b/>
                    </w:rPr>
                  </w:pPr>
                  <w:r w:rsidRPr="00F10DDD">
                    <w:rPr>
                      <w:b/>
                    </w:rPr>
                    <w:t>2</w:t>
                  </w:r>
                </w:p>
              </w:tc>
            </w:tr>
            <w:tr w:rsidR="00F10DDD" w:rsidRPr="00F10DDD" w:rsidTr="00F10DDD">
              <w:trPr>
                <w:trHeight w:val="5024"/>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proofErr w:type="gramStart"/>
                  <w:r w:rsidRPr="00F10DDD">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F10DDD">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01 2 7239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0,2</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180"/>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0E10AD">
                  <w:r w:rsidRPr="00F10DDD">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01 2 9999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122,9</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1891"/>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0E10AD">
                  <w:r w:rsidRPr="00F10DDD">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01 2 9999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850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6,9</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439"/>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Муниципальная программа Первомайского сельского поселения "Муниципальная политика"</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02 0 0000</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10,0</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1014"/>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F10DDD">
                  <w:r w:rsidRPr="00F10DDD">
                    <w:t>Подпрограмма "Развитие муниципальной службы в Первомайском сельском поселении, дополнительное профессиональное образование лиц, занятых в системе местного самоуправления"</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02 1 0000</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10,0</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755"/>
              </w:trPr>
              <w:tc>
                <w:tcPr>
                  <w:tcW w:w="6328" w:type="dxa"/>
                  <w:tcBorders>
                    <w:top w:val="nil"/>
                    <w:left w:val="single" w:sz="4" w:space="0" w:color="auto"/>
                    <w:bottom w:val="single" w:sz="4" w:space="0" w:color="auto"/>
                    <w:right w:val="single" w:sz="4" w:space="0" w:color="auto"/>
                  </w:tcBorders>
                  <w:shd w:val="clear" w:color="auto" w:fill="auto"/>
                  <w:hideMark/>
                </w:tcPr>
                <w:p w:rsidR="00F10DDD" w:rsidRDefault="00F10DDD" w:rsidP="00E97E26">
                  <w:r w:rsidRPr="00F10DDD">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в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p w:rsidR="00C8002D" w:rsidRDefault="00C8002D" w:rsidP="00E97E26"/>
                <w:p w:rsidR="00C8002D" w:rsidRDefault="00C8002D" w:rsidP="00E97E26"/>
                <w:p w:rsidR="00C8002D" w:rsidRPr="00F10DDD" w:rsidRDefault="00C8002D" w:rsidP="00E97E26"/>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02 1 2916</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10,0</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C8002D" w:rsidRPr="00F10DDD" w:rsidTr="00C8002D">
              <w:trPr>
                <w:trHeight w:val="20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05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136,2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"Пожарная безопасность"</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52,5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1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03 1 2917</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52,5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"Защита от чрезвычайных ситуаций"</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83,7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82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gramStart"/>
                  <w:r w:rsidRPr="00F10DDD">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03 2 8901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66,0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310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gramStart"/>
                  <w:r w:rsidRPr="00F10DDD">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03 2 8902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17,7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"Развитие транспортной системы"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534,7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Первомайского сельского поселения "Развитие транспортной инфраструктуры"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534,7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71"/>
              </w:trPr>
              <w:tc>
                <w:tcPr>
                  <w:tcW w:w="6328" w:type="dxa"/>
                  <w:tcBorders>
                    <w:top w:val="nil"/>
                    <w:left w:val="single" w:sz="4" w:space="0" w:color="auto"/>
                    <w:bottom w:val="single" w:sz="4" w:space="0" w:color="auto"/>
                    <w:right w:val="single" w:sz="4" w:space="0" w:color="auto"/>
                  </w:tcBorders>
                  <w:shd w:val="clear" w:color="auto" w:fill="auto"/>
                  <w:hideMark/>
                </w:tcPr>
                <w:p w:rsidR="00C8002D" w:rsidRDefault="00C8002D" w:rsidP="001547EB">
                  <w:r w:rsidRPr="00F10DDD">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C8002D" w:rsidRDefault="00C8002D" w:rsidP="001547EB"/>
                <w:p w:rsidR="00C8002D" w:rsidRDefault="00C8002D" w:rsidP="001547EB"/>
                <w:p w:rsidR="00C8002D" w:rsidRDefault="00C8002D" w:rsidP="001547EB"/>
                <w:p w:rsidR="00C8002D" w:rsidRPr="00F10DDD" w:rsidRDefault="00C8002D" w:rsidP="001547EB"/>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04 1 7351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313,7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E97E26">
                  <w:pPr>
                    <w:jc w:val="center"/>
                    <w:rPr>
                      <w:b/>
                    </w:rPr>
                  </w:pPr>
                </w:p>
              </w:tc>
              <w:tc>
                <w:tcPr>
                  <w:tcW w:w="356" w:type="dxa"/>
                  <w:tcBorders>
                    <w:top w:val="nil"/>
                    <w:left w:val="nil"/>
                    <w:bottom w:val="nil"/>
                    <w:right w:val="nil"/>
                  </w:tcBorders>
                  <w:shd w:val="clear" w:color="auto" w:fill="auto"/>
                  <w:hideMark/>
                </w:tcPr>
                <w:p w:rsidR="00C8002D" w:rsidRPr="00F10DDD" w:rsidRDefault="00C8002D" w:rsidP="00E97E26">
                  <w:pPr>
                    <w:jc w:val="center"/>
                    <w:rPr>
                      <w:b/>
                    </w:rPr>
                  </w:pPr>
                  <w:r w:rsidRPr="00F10DDD">
                    <w:rPr>
                      <w:b/>
                    </w:rPr>
                    <w:t>2</w:t>
                  </w:r>
                </w:p>
              </w:tc>
            </w:tr>
            <w:tr w:rsidR="00C8002D" w:rsidRPr="00F10DDD" w:rsidTr="00F10DDD">
              <w:trPr>
                <w:trHeight w:val="2188"/>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04 1 8508</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195,9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6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spellStart"/>
                  <w:r w:rsidRPr="00F10DDD">
                    <w:t>Софинансирование</w:t>
                  </w:r>
                  <w:proofErr w:type="spellEnd"/>
                  <w:r w:rsidRPr="00F10DDD">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04 1 8509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25,1</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11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качественными жилищно-коммунальными услугами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66300A">
                  <w:pPr>
                    <w:jc w:val="right"/>
                  </w:pPr>
                  <w:r w:rsidRPr="00F10DDD">
                    <w:t>626,7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42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"Мероприятия в области коммунального хозяйства"</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265,9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3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05 1 2906</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265,9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"Благоустройство"</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279,4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8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05 2 2907</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152,3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0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C8002D">
                  <w:r w:rsidRPr="00F10DDD">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05 2 2909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40,7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0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05 2 2910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86,4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1</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2</w:t>
                  </w:r>
                </w:p>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"Межевание земельных участков"</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05 3 0000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81,4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52"/>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05 3 2904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81,4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4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"Информационное общество"</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84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F10DDD">
                  <w:r w:rsidRPr="00F10DDD">
                    <w:t>Подпрограмма "Информирование населения о деятельности органов местного самоуправления на территории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18"/>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1547EB">
                  <w:r w:rsidRPr="00F10DDD">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06 1 2913</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7"/>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общественного порядка и противодействие преступности"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4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"Профилактика экстремизма и терроризма в Первомайском сельском поселении"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8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07 2 2923</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2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"Развитие культуры"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5 570,2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37"/>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 xml:space="preserve">Подпрограмма "Развитие </w:t>
                  </w:r>
                  <w:proofErr w:type="spellStart"/>
                  <w:r w:rsidRPr="00F10DDD">
                    <w:t>культурно-досуговой</w:t>
                  </w:r>
                  <w:proofErr w:type="spellEnd"/>
                  <w:r w:rsidRPr="00F10DDD">
                    <w:t xml:space="preserve"> деятельности"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4 969,7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67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F10DDD">
                    <w:t>досуговой</w:t>
                  </w:r>
                  <w:proofErr w:type="spellEnd"/>
                  <w:r w:rsidRPr="00F10DDD">
                    <w:t xml:space="preserve"> деятельности»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08 1 0059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610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4 939,7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62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C8002D">
                  <w:r w:rsidRPr="00F10DDD">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F10DDD">
                    <w:t>культурно-досуговой</w:t>
                  </w:r>
                  <w:proofErr w:type="spellEnd"/>
                  <w:r w:rsidRPr="00F10DDD">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08 1 2914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30,0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"Развитие библиотечного дела"</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600,5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C8002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1</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2</w:t>
                  </w:r>
                </w:p>
              </w:tc>
            </w:tr>
            <w:tr w:rsidR="00C8002D" w:rsidRPr="00F10DDD" w:rsidTr="00F10DDD">
              <w:trPr>
                <w:trHeight w:val="166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08 2 0059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610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600,5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"Социальная поддержка граждан"</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"Социальная поддержка отдельных категорий граждан"</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83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09 1 1901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310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доступным и комфортным жильем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"Обеспечение жильем молодых семей и молодых специалистов, проживающих и работающих в сельской местности"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45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10 2 2912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320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3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spellStart"/>
                  <w:r w:rsidRPr="00F10DDD">
                    <w:t>Непрограммные</w:t>
                  </w:r>
                  <w:proofErr w:type="spellEnd"/>
                  <w:r w:rsidRPr="00F10DDD">
                    <w:t xml:space="preserve"> расходы органов местного самоуправления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450,4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F10DDD">
                  <w:proofErr w:type="spellStart"/>
                  <w:r w:rsidRPr="00F10DDD">
                    <w:t>Непрограммные</w:t>
                  </w:r>
                  <w:proofErr w:type="spellEnd"/>
                  <w:r w:rsidRPr="00F10DDD">
                    <w:t xml:space="preserve"> расходы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99 9 0000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A05E6C">
                  <w:pPr>
                    <w:jc w:val="right"/>
                  </w:pPr>
                  <w:r w:rsidRPr="00F10DDD">
                    <w:t>450,4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A05E6C">
                  <w:proofErr w:type="gramStart"/>
                  <w:r w:rsidRPr="00F10DDD">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F10DDD">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w:t>
                  </w:r>
                  <w:r w:rsidRPr="00F10DDD">
                    <w:lastRenderedPageBreak/>
                    <w:t xml:space="preserve">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(Иные межбюджетные трансферты) (Перечисления другим бюджетам Бюджетной системы Российской Федерации) </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lastRenderedPageBreak/>
                    <w:t>99 9 8904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01</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04</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136C5">
                  <w:pPr>
                    <w:jc w:val="right"/>
                    <w:rPr>
                      <w:highlight w:val="yellow"/>
                    </w:rPr>
                  </w:pPr>
                  <w:r w:rsidRPr="00F10DDD">
                    <w:t>50,8</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2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lastRenderedPageBreak/>
                    <w:t xml:space="preserve">Осуществление первичного воинского учета на территориях, где отсутствуют военные комиссариаты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99 9 5118</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144,3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435"/>
              </w:trPr>
              <w:tc>
                <w:tcPr>
                  <w:tcW w:w="6328" w:type="dxa"/>
                  <w:tcBorders>
                    <w:top w:val="nil"/>
                    <w:left w:val="single" w:sz="4" w:space="0" w:color="auto"/>
                    <w:bottom w:val="nil"/>
                    <w:right w:val="single" w:sz="4" w:space="0" w:color="auto"/>
                  </w:tcBorders>
                  <w:shd w:val="clear" w:color="auto" w:fill="auto"/>
                  <w:hideMark/>
                </w:tcPr>
                <w:p w:rsidR="00C8002D" w:rsidRPr="00F10DDD" w:rsidRDefault="00C8002D" w:rsidP="00F10DDD">
                  <w:r w:rsidRPr="00F10DDD">
                    <w:t xml:space="preserve">Осуществление первичного воинского учета на территориях, где отсутствуют военные комиссариаты в  </w:t>
                  </w:r>
                  <w:proofErr w:type="spellStart"/>
                  <w:r w:rsidRPr="00F10DDD">
                    <w:t>непрограммных</w:t>
                  </w:r>
                  <w:proofErr w:type="spellEnd"/>
                  <w:r w:rsidRPr="00F10DDD">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nil"/>
                    <w:right w:val="single" w:sz="4" w:space="0" w:color="auto"/>
                  </w:tcBorders>
                  <w:shd w:val="clear" w:color="auto" w:fill="auto"/>
                  <w:hideMark/>
                </w:tcPr>
                <w:p w:rsidR="00C8002D" w:rsidRPr="00F10DDD" w:rsidRDefault="00C8002D" w:rsidP="00E97E26">
                  <w:r w:rsidRPr="00F10DDD">
                    <w:t>99 9 5118</w:t>
                  </w:r>
                </w:p>
              </w:tc>
              <w:tc>
                <w:tcPr>
                  <w:tcW w:w="636" w:type="dxa"/>
                  <w:tcBorders>
                    <w:top w:val="nil"/>
                    <w:left w:val="nil"/>
                    <w:bottom w:val="nil"/>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nil"/>
                    <w:right w:val="single" w:sz="4" w:space="0" w:color="auto"/>
                  </w:tcBorders>
                  <w:shd w:val="clear" w:color="auto" w:fill="auto"/>
                  <w:hideMark/>
                </w:tcPr>
                <w:p w:rsidR="00C8002D" w:rsidRPr="00F10DDD" w:rsidRDefault="00C8002D" w:rsidP="00E97E26">
                  <w:r w:rsidRPr="00F10DDD">
                    <w:t>02</w:t>
                  </w:r>
                </w:p>
              </w:tc>
              <w:tc>
                <w:tcPr>
                  <w:tcW w:w="605" w:type="dxa"/>
                  <w:tcBorders>
                    <w:top w:val="nil"/>
                    <w:left w:val="nil"/>
                    <w:bottom w:val="nil"/>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nil"/>
                    <w:right w:val="single" w:sz="4" w:space="0" w:color="auto"/>
                  </w:tcBorders>
                  <w:shd w:val="clear" w:color="auto" w:fill="auto"/>
                  <w:hideMark/>
                </w:tcPr>
                <w:p w:rsidR="00C8002D" w:rsidRPr="00F10DDD" w:rsidRDefault="00C8002D" w:rsidP="00E97E26">
                  <w:pPr>
                    <w:jc w:val="right"/>
                  </w:pPr>
                  <w:r w:rsidRPr="00F10DDD">
                    <w:t>10,1</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7409DA">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99 9 9201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12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185,2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C8002D">
              <w:trPr>
                <w:trHeight w:val="883"/>
              </w:trPr>
              <w:tc>
                <w:tcPr>
                  <w:tcW w:w="6328" w:type="dxa"/>
                  <w:tcBorders>
                    <w:top w:val="single" w:sz="4" w:space="0" w:color="auto"/>
                    <w:left w:val="single" w:sz="4" w:space="0" w:color="auto"/>
                    <w:bottom w:val="single" w:sz="4" w:space="0" w:color="auto"/>
                    <w:right w:val="single" w:sz="4" w:space="0" w:color="auto"/>
                  </w:tcBorders>
                  <w:shd w:val="clear" w:color="auto" w:fill="auto"/>
                  <w:hideMark/>
                </w:tcPr>
                <w:p w:rsidR="00C8002D" w:rsidRPr="00342E99" w:rsidRDefault="00C8002D" w:rsidP="004D23A0">
                  <w:r w:rsidRPr="006869A2">
                    <w:t xml:space="preserve">Реализация направления расходов по иным </w:t>
                  </w:r>
                  <w:proofErr w:type="spellStart"/>
                  <w:r w:rsidRPr="006869A2">
                    <w:t>непрограммным</w:t>
                  </w:r>
                  <w:proofErr w:type="spellEnd"/>
                  <w:r w:rsidRPr="006869A2">
                    <w:t xml:space="preserve"> мероприятиям </w:t>
                  </w:r>
                  <w:proofErr w:type="gramStart"/>
                  <w:r w:rsidRPr="006869A2">
                    <w:t xml:space="preserve">в </w:t>
                  </w:r>
                  <w:proofErr w:type="spellStart"/>
                  <w:r w:rsidRPr="007002D2">
                    <w:t>непрограммных</w:t>
                  </w:r>
                  <w:proofErr w:type="spellEnd"/>
                  <w:proofErr w:type="gramEnd"/>
                  <w:r w:rsidRPr="007002D2">
                    <w:t xml:space="preserve"> расходах </w:t>
                  </w:r>
                  <w:r w:rsidRPr="006869A2">
                    <w:t>Первомайского сельского поселения (Прочие расходы)</w:t>
                  </w:r>
                </w:p>
              </w:tc>
              <w:tc>
                <w:tcPr>
                  <w:tcW w:w="1503" w:type="dxa"/>
                  <w:tcBorders>
                    <w:top w:val="single" w:sz="4" w:space="0" w:color="auto"/>
                    <w:left w:val="nil"/>
                    <w:bottom w:val="single" w:sz="4" w:space="0" w:color="auto"/>
                    <w:right w:val="single" w:sz="4" w:space="0" w:color="auto"/>
                  </w:tcBorders>
                  <w:shd w:val="clear" w:color="auto" w:fill="auto"/>
                  <w:hideMark/>
                </w:tcPr>
                <w:p w:rsidR="00C8002D" w:rsidRPr="00C8002D" w:rsidRDefault="00C8002D" w:rsidP="00E136C5">
                  <w:r w:rsidRPr="00C8002D">
                    <w:t>99 9 9999</w:t>
                  </w:r>
                </w:p>
              </w:tc>
              <w:tc>
                <w:tcPr>
                  <w:tcW w:w="636" w:type="dxa"/>
                  <w:tcBorders>
                    <w:top w:val="single" w:sz="4" w:space="0" w:color="auto"/>
                    <w:left w:val="nil"/>
                    <w:bottom w:val="single" w:sz="4" w:space="0" w:color="auto"/>
                    <w:right w:val="single" w:sz="4" w:space="0" w:color="auto"/>
                  </w:tcBorders>
                  <w:shd w:val="clear" w:color="auto" w:fill="auto"/>
                  <w:hideMark/>
                </w:tcPr>
                <w:p w:rsidR="00C8002D" w:rsidRPr="00C8002D" w:rsidRDefault="00C8002D" w:rsidP="00E136C5">
                  <w:r w:rsidRPr="00C8002D">
                    <w:t>830</w:t>
                  </w:r>
                </w:p>
              </w:tc>
              <w:tc>
                <w:tcPr>
                  <w:tcW w:w="605" w:type="dxa"/>
                  <w:tcBorders>
                    <w:top w:val="single" w:sz="4" w:space="0" w:color="auto"/>
                    <w:left w:val="nil"/>
                    <w:bottom w:val="single" w:sz="4" w:space="0" w:color="auto"/>
                    <w:right w:val="single" w:sz="4" w:space="0" w:color="auto"/>
                  </w:tcBorders>
                  <w:shd w:val="clear" w:color="auto" w:fill="auto"/>
                  <w:hideMark/>
                </w:tcPr>
                <w:p w:rsidR="00C8002D" w:rsidRPr="00C8002D" w:rsidRDefault="00C8002D" w:rsidP="00E136C5">
                  <w:r w:rsidRPr="00C8002D">
                    <w:t xml:space="preserve">01  </w:t>
                  </w:r>
                </w:p>
              </w:tc>
              <w:tc>
                <w:tcPr>
                  <w:tcW w:w="605" w:type="dxa"/>
                  <w:tcBorders>
                    <w:top w:val="single" w:sz="4" w:space="0" w:color="auto"/>
                    <w:left w:val="nil"/>
                    <w:bottom w:val="single" w:sz="4" w:space="0" w:color="auto"/>
                    <w:right w:val="single" w:sz="4" w:space="0" w:color="auto"/>
                  </w:tcBorders>
                  <w:shd w:val="clear" w:color="auto" w:fill="auto"/>
                  <w:hideMark/>
                </w:tcPr>
                <w:p w:rsidR="00C8002D" w:rsidRPr="00C8002D" w:rsidRDefault="00C8002D" w:rsidP="00E136C5">
                  <w:r w:rsidRPr="00C8002D">
                    <w:t>13</w:t>
                  </w:r>
                </w:p>
              </w:tc>
              <w:tc>
                <w:tcPr>
                  <w:tcW w:w="1196" w:type="dxa"/>
                  <w:tcBorders>
                    <w:top w:val="single" w:sz="4" w:space="0" w:color="auto"/>
                    <w:left w:val="nil"/>
                    <w:bottom w:val="single" w:sz="4" w:space="0" w:color="auto"/>
                    <w:right w:val="single" w:sz="4" w:space="0" w:color="auto"/>
                  </w:tcBorders>
                  <w:shd w:val="clear" w:color="auto" w:fill="auto"/>
                  <w:hideMark/>
                </w:tcPr>
                <w:p w:rsidR="00C8002D" w:rsidRPr="00C8002D" w:rsidRDefault="00C8002D" w:rsidP="00E97E26">
                  <w:pPr>
                    <w:jc w:val="right"/>
                  </w:pPr>
                  <w:r w:rsidRPr="00C8002D">
                    <w:t>60,0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bl>
          <w:p w:rsidR="009369A2" w:rsidRPr="00F10DDD" w:rsidRDefault="009369A2" w:rsidP="00E97E26">
            <w:pPr>
              <w:jc w:val="center"/>
              <w:rPr>
                <w:b/>
                <w:bCs/>
              </w:rPr>
            </w:pPr>
          </w:p>
        </w:tc>
      </w:tr>
    </w:tbl>
    <w:p w:rsidR="009369A2" w:rsidRPr="00F10DDD" w:rsidRDefault="009369A2"/>
    <w:p w:rsidR="0054316C" w:rsidRPr="00F10DDD" w:rsidRDefault="0054316C" w:rsidP="0054316C">
      <w:pPr>
        <w:tabs>
          <w:tab w:val="left" w:pos="7590"/>
          <w:tab w:val="right" w:pos="10431"/>
        </w:tabs>
      </w:pPr>
      <w:r w:rsidRPr="00F10DDD">
        <w:t xml:space="preserve">                                                           </w:t>
      </w:r>
    </w:p>
    <w:sectPr w:rsidR="0054316C" w:rsidRPr="00F10DDD" w:rsidSect="00E97E26">
      <w:pgSz w:w="11906" w:h="16838"/>
      <w:pgMar w:top="851"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4316C"/>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E26"/>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357"/>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5AC0"/>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10AD"/>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68D"/>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7EB"/>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136"/>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7EF"/>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B32"/>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DCE"/>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760"/>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3F"/>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89B"/>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16C"/>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5AF"/>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3A"/>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08D"/>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37B"/>
    <w:rsid w:val="0063550D"/>
    <w:rsid w:val="00635886"/>
    <w:rsid w:val="006358AB"/>
    <w:rsid w:val="00635EEA"/>
    <w:rsid w:val="00636307"/>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00A"/>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3B0"/>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09DA"/>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72C"/>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6AED"/>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6CD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9A2"/>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0D7"/>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5E6C"/>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A78CF"/>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D70"/>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D15"/>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7A3"/>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33F"/>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5C9A"/>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02D"/>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C1D"/>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3E9C"/>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C5A"/>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6C5"/>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97E2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2CD"/>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0DDD"/>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1C74"/>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359E"/>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A3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6CD7"/>
    <w:rPr>
      <w:rFonts w:ascii="Tahoma" w:hAnsi="Tahoma" w:cs="Tahoma"/>
      <w:sz w:val="16"/>
      <w:szCs w:val="16"/>
    </w:rPr>
  </w:style>
  <w:style w:type="character" w:customStyle="1" w:styleId="a4">
    <w:name w:val="Текст выноски Знак"/>
    <w:basedOn w:val="a0"/>
    <w:link w:val="a3"/>
    <w:uiPriority w:val="99"/>
    <w:semiHidden/>
    <w:rsid w:val="00926CD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3865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28176-5A94-4D67-B38E-DA778C8B5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2721</Words>
  <Characters>15510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31</cp:revision>
  <cp:lastPrinted>2014-03-31T08:29:00Z</cp:lastPrinted>
  <dcterms:created xsi:type="dcterms:W3CDTF">2014-01-28T11:34:00Z</dcterms:created>
  <dcterms:modified xsi:type="dcterms:W3CDTF">2014-04-09T05:52:00Z</dcterms:modified>
</cp:coreProperties>
</file>