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49E" w:rsidRDefault="0057449E"/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E62F43" w:rsidRDefault="00763C10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 w:rsidRPr="008D11D4">
        <w:rPr>
          <w:rFonts w:ascii="Times New Roman" w:hAnsi="Times New Roman" w:cs="Times New Roman"/>
          <w:sz w:val="96"/>
          <w:szCs w:val="96"/>
        </w:rPr>
        <w:t>Исполнение бюджета</w:t>
      </w:r>
    </w:p>
    <w:p w:rsidR="00763C10" w:rsidRPr="008D11D4" w:rsidRDefault="00E62F43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Первомайского сельского поселения </w:t>
      </w:r>
      <w:r w:rsidR="00763C10" w:rsidRPr="008D11D4">
        <w:rPr>
          <w:rFonts w:ascii="Times New Roman" w:hAnsi="Times New Roman" w:cs="Times New Roman"/>
          <w:sz w:val="96"/>
          <w:szCs w:val="96"/>
        </w:rPr>
        <w:t>Миллеровского района за 2015 год</w:t>
      </w:r>
    </w:p>
    <w:p w:rsidR="00763C10" w:rsidRDefault="00763C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63C10" w:rsidRDefault="001C789B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48.25pt;margin-top:5.3pt;width:668.95pt;height:159.9pt;z-index:251658240" adj="10840,2553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A7EC2" w:rsidRPr="006E56CE" w:rsidRDefault="00DA7EC2" w:rsidP="006E56CE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</w:p>
                <w:p w:rsidR="00DA7EC2" w:rsidRPr="006E56CE" w:rsidRDefault="00DA7EC2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DA7EC2" w:rsidRPr="00763C10" w:rsidRDefault="00DA7EC2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1C789B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7" style="position:absolute;margin-left:9.75pt;margin-top:-.35pt;width:748.45pt;height:93.75pt;z-index:2516592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6E56CE" w:rsidRDefault="00DA7EC2" w:rsidP="006E56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Обеспечена работа координационного совета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 вопросам собираемости налогов и других обязательных платежей (Постановление Администрации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Первомайского сельского поселения 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от 1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.0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1.2015 года №1/1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).</w:t>
                  </w:r>
                </w:p>
              </w:txbxContent>
            </v:textbox>
          </v:roundrect>
        </w:pic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1C789B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8" style="position:absolute;margin-left:197.05pt;margin-top:5.7pt;width:561.15pt;height:61.9pt;z-index:25166028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6E56CE" w:rsidRDefault="00DA7EC2" w:rsidP="006E56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Проведено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 заседаний координационного совета</w:t>
                  </w:r>
                </w:p>
              </w:txbxContent>
            </v:textbox>
          </v:roundrect>
        </w:pict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Default="00443E33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76200</wp:posOffset>
            </wp:positionV>
            <wp:extent cx="3157220" cy="2057400"/>
            <wp:effectExtent l="19050" t="0" r="5080" b="0"/>
            <wp:wrapNone/>
            <wp:docPr id="5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1C789B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29" style="position:absolute;margin-left:245.1pt;margin-top:2.9pt;width:513.1pt;height:93.75pt;z-index:25166131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6E56CE" w:rsidRDefault="00DA7EC2" w:rsidP="006E56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реализации полного комплекса мер в бюджет Первомайского сельского поселения Миллеровского района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поступило 181,6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6E56CE" w:rsidRDefault="006E56CE" w:rsidP="00763C10">
      <w:pPr>
        <w:pStyle w:val="a7"/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Default="00DB47D6">
      <w:pPr>
        <w:rPr>
          <w:rFonts w:ascii="Times New Roman" w:hAnsi="Times New Roman" w:cs="Times New Roman"/>
        </w:rPr>
      </w:pPr>
      <w:r w:rsidRPr="00DB47D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90170</wp:posOffset>
            </wp:positionV>
            <wp:extent cx="5534025" cy="3733800"/>
            <wp:effectExtent l="19050" t="0" r="9525" b="0"/>
            <wp:wrapNone/>
            <wp:docPr id="13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C789B">
        <w:rPr>
          <w:rFonts w:ascii="Times New Roman" w:hAnsi="Times New Roman" w:cs="Times New Roman"/>
          <w:noProof/>
          <w:lang w:eastAsia="ru-RU"/>
        </w:rPr>
        <w:pict>
          <v:roundrect id="_x0000_s1097" style="position:absolute;margin-left:29.55pt;margin-top:322.85pt;width:748.45pt;height:83.25pt;z-index:251772928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BA7A70" w:rsidRDefault="00DA7EC2" w:rsidP="00DB47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536D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На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выравнивание бюджетной обеспеченности поселения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получено</w:t>
                  </w:r>
                  <w:r w:rsidRPr="00D81B9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дотаций – 930,6 тыс. рублей</w:t>
                  </w:r>
                </w:p>
              </w:txbxContent>
            </v:textbox>
          </v:roundrect>
        </w:pict>
      </w:r>
      <w:r w:rsidR="001C789B">
        <w:rPr>
          <w:rFonts w:ascii="Times New Roman" w:hAnsi="Times New Roman" w:cs="Times New Roman"/>
          <w:noProof/>
          <w:lang w:eastAsia="ru-RU"/>
        </w:rPr>
        <w:pict>
          <v:shape id="_x0000_s1098" type="#_x0000_t106" style="position:absolute;margin-left:403pt;margin-top:8.6pt;width:385.5pt;height:223.5pt;z-index:251773952;mso-position-horizontal-relative:text;mso-position-vertical-relative:text" adj="-1849,30549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A7EC2" w:rsidRPr="006E56CE" w:rsidRDefault="00DA7EC2" w:rsidP="00DB47D6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Обеспечение сбалансированности местных бюджетов</w:t>
                  </w:r>
                </w:p>
                <w:p w:rsidR="00DA7EC2" w:rsidRPr="00763C10" w:rsidRDefault="00DA7EC2" w:rsidP="00DB47D6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Default="00DB47D6" w:rsidP="00D44C9C">
      <w:pPr>
        <w:pStyle w:val="a7"/>
        <w:jc w:val="right"/>
      </w:pPr>
    </w:p>
    <w:p w:rsidR="00DB47D6" w:rsidRPr="0090417C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</w:pPr>
      <w:r w:rsidRPr="0090417C"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  <w:t xml:space="preserve">Объем налоговых и неналоговых доходов бюджета </w:t>
      </w:r>
      <w:r w:rsidR="0090417C" w:rsidRPr="0090417C"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  <w:t xml:space="preserve">Первомайского сельского поселения </w:t>
      </w:r>
      <w:r w:rsidRPr="0090417C"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  <w:t xml:space="preserve">Миллеровского района в 2015 году составил </w:t>
      </w:r>
      <w:r w:rsidR="00991DE0">
        <w:rPr>
          <w:rFonts w:ascii="Times New Roman" w:hAnsi="Times New Roman" w:cs="Times New Roman"/>
          <w:b/>
          <w:shadow/>
          <w:color w:val="984806" w:themeColor="accent6" w:themeShade="80"/>
          <w:sz w:val="36"/>
          <w:szCs w:val="36"/>
        </w:rPr>
        <w:t>8633,6</w:t>
      </w:r>
      <w:r w:rsidRPr="0090417C">
        <w:rPr>
          <w:rFonts w:ascii="Times New Roman" w:hAnsi="Times New Roman" w:cs="Times New Roman"/>
          <w:b/>
          <w:shadow/>
          <w:color w:val="E36C0A" w:themeColor="accent6" w:themeShade="BF"/>
          <w:sz w:val="36"/>
          <w:szCs w:val="36"/>
        </w:rPr>
        <w:t xml:space="preserve"> тыс. рублей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72440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-173991</wp:posOffset>
            </wp:positionH>
            <wp:positionV relativeFrom="paragraph">
              <wp:posOffset>-81280</wp:posOffset>
            </wp:positionV>
            <wp:extent cx="8086725" cy="6829654"/>
            <wp:effectExtent l="0" t="0" r="0" b="0"/>
            <wp:wrapNone/>
            <wp:docPr id="3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682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собственных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722FE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DB47D6" w:rsidRDefault="00DB47D6" w:rsidP="00F16E68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налоговых и неналоговых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F16E68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2015 году составил </w:t>
      </w:r>
      <w:r w:rsidR="00D005E4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8633,6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тыс. рублей</w:t>
      </w:r>
      <w:r w:rsidR="00F16E68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,</w:t>
      </w:r>
      <w:r w:rsidR="00F16E68" w:rsidRPr="004824AB">
        <w:rPr>
          <w:rFonts w:cs="Times New Roman"/>
          <w:b/>
          <w:shadow/>
          <w:sz w:val="40"/>
          <w:szCs w:val="40"/>
        </w:rPr>
        <w:t xml:space="preserve"> </w:t>
      </w:r>
      <w:r w:rsidRPr="004824AB">
        <w:rPr>
          <w:rFonts w:cs="Times New Roman"/>
          <w:b/>
          <w:shadow/>
          <w:sz w:val="40"/>
          <w:szCs w:val="40"/>
        </w:rPr>
        <w:t>тыс. рублей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15525" cy="4705350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налоговых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D005E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2015 году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F16E6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128" type="#_x0000_t106" style="position:absolute;margin-left:230.8pt;margin-top:-2.1pt;width:532.65pt;height:213.55pt;z-index:251807744" adj="6910,23491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A7EC2" w:rsidRPr="006E56CE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F16E6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Формирование и исполнение бюджета на основе муниципальных программ </w:t>
                  </w:r>
                  <w:r w:rsidR="00F16E68" w:rsidRPr="00F16E6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Первомайского сельского</w:t>
                  </w:r>
                  <w:r w:rsidR="00F16E68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поселения</w:t>
                  </w:r>
                </w:p>
                <w:p w:rsidR="00DA7EC2" w:rsidRPr="00763C10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16E6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6" style="position:absolute;margin-left:33.75pt;margin-top:11.8pt;width:748.45pt;height:124.4pt;z-index:25180569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Pr="006E56CE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Первомайского сельского поселения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Миллеровского района 2015 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Первомайского сельского поселения  10 муниципальных программ.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16E6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7" style="position:absolute;margin-left:90.7pt;margin-top:8.35pt;width:637pt;height:80pt;z-index:25180672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2015 году </w:t>
                  </w:r>
                </w:p>
                <w:p w:rsidR="00DA7EC2" w:rsidRPr="00AD27B3" w:rsidRDefault="00DA7EC2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9736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3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</w:p>
    <w:p w:rsidR="00F75C1D" w:rsidRPr="004824AB" w:rsidRDefault="00F75C1D" w:rsidP="00F75C1D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D44C9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F75C1D" w:rsidRPr="004824AB" w:rsidRDefault="00F75C1D" w:rsidP="00F75C1D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F75C1D" w:rsidRDefault="00F75C1D" w:rsidP="00F75C1D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791700" cy="4733925"/>
            <wp:effectExtent l="0" t="0" r="0" b="0"/>
            <wp:docPr id="5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F75C1D" w:rsidRDefault="001C789B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_x0000_s1129" style="position:absolute;margin-left:28.05pt;margin-top:199.85pt;width:748.45pt;height:285.75pt;z-index:2518108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A7EC2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D81B9D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бюджета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– 826,0 тыс. рублей, в том числе за счет средств областного бюджета 60,9 тыс. рублей, из них:</w:t>
                  </w:r>
                </w:p>
                <w:p w:rsidR="00DA7EC2" w:rsidRDefault="00DA7EC2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Ремонт и содержание дорог общего пользования местного значения  826,0 тыс. рублей.</w:t>
                  </w:r>
                </w:p>
                <w:p w:rsidR="00DA7EC2" w:rsidRPr="00BA7A70" w:rsidRDefault="00DA7EC2" w:rsidP="00161AF1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1C789B" w:rsidP="006E56CE">
      <w:pPr>
        <w:pStyle w:val="a7"/>
        <w:rPr>
          <w:rFonts w:ascii="Times New Roman" w:hAnsi="Times New Roman" w:cs="Times New Roman"/>
          <w:b/>
        </w:rPr>
      </w:pPr>
      <w:r w:rsidRPr="001C789B">
        <w:rPr>
          <w:rFonts w:ascii="Times New Roman" w:hAnsi="Times New Roman" w:cs="Times New Roman"/>
          <w:noProof/>
          <w:lang w:eastAsia="ru-RU"/>
        </w:rPr>
        <w:pict>
          <v:shape id="_x0000_s1130" type="#_x0000_t106" style="position:absolute;margin-left:-8.8pt;margin-top:1.3pt;width:531.35pt;height:161.5pt;z-index:251811840" adj="13886,2245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A7EC2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Дорожный фонд </w:t>
                  </w:r>
                </w:p>
                <w:p w:rsidR="00DA7EC2" w:rsidRPr="006E56CE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Первомайского сельского поселения </w:t>
                  </w:r>
                </w:p>
                <w:p w:rsidR="00DA7EC2" w:rsidRPr="00763C10" w:rsidRDefault="00DA7EC2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-393065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73A8B" w:rsidRDefault="00B716B2" w:rsidP="00D73A8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  <w:r w:rsidR="00D73A8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бюджета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</w:p>
    <w:p w:rsidR="00D73A8B" w:rsidRPr="004824AB" w:rsidRDefault="00D73A8B" w:rsidP="00D73A8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на </w:t>
      </w:r>
      <w:r w:rsidR="008A21BC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культуру</w:t>
      </w:r>
    </w:p>
    <w:p w:rsidR="00D73A8B" w:rsidRPr="004824AB" w:rsidRDefault="00347708" w:rsidP="00D73A8B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285115</wp:posOffset>
            </wp:positionV>
            <wp:extent cx="4429125" cy="2505075"/>
            <wp:effectExtent l="19050" t="0" r="9525" b="0"/>
            <wp:wrapNone/>
            <wp:docPr id="21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295" cy="250573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73A8B"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73A8B" w:rsidRDefault="00D73A8B" w:rsidP="00D73A8B">
      <w:pPr>
        <w:pStyle w:val="a7"/>
        <w:rPr>
          <w:rFonts w:ascii="Times New Roman" w:hAnsi="Times New Roman" w:cs="Times New Roman"/>
        </w:rPr>
      </w:pPr>
    </w:p>
    <w:p w:rsidR="00D66FF7" w:rsidRDefault="00347708" w:rsidP="0049729E">
      <w:pPr>
        <w:ind w:firstLine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09559" cy="4857008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66FF7">
        <w:rPr>
          <w:rFonts w:ascii="Times New Roman" w:hAnsi="Times New Roman" w:cs="Times New Roman"/>
        </w:rPr>
        <w:br w:type="page"/>
      </w:r>
    </w:p>
    <w:p w:rsidR="00F75DF0" w:rsidRDefault="00F75DF0" w:rsidP="00DF6E9C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</w:p>
    <w:p w:rsidR="00F60AC0" w:rsidRDefault="00F60AC0" w:rsidP="00F60AC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E0D5C" w:rsidRDefault="00161AF1" w:rsidP="00DF6E9C">
      <w:pPr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С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труктура расходов </w:t>
      </w:r>
      <w:r w:rsidR="001E0D5C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DF6E9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Первомайского сельс</w:t>
      </w:r>
      <w:r w:rsidR="002A180A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кого поселения </w:t>
      </w:r>
      <w:r w:rsidR="001E0D5C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2015 году</w:t>
      </w:r>
      <w:r w:rsidR="002A180A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10343,5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 xml:space="preserve"> </w:t>
      </w:r>
      <w:r w:rsidR="001E0D5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тыс. рублей</w:t>
      </w:r>
      <w:r w:rsidR="00DF6E9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.</w:t>
      </w:r>
      <w:r w:rsidR="001E0D5C"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  <w:r w:rsidR="00161AF1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Первомайского сельского поселения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2015 году.</w: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C789B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90" style="position:absolute;margin-left:431.65pt;margin-top:-17.05pt;width:270.5pt;height:78.15pt;z-index:2517585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DA7EC2" w:rsidRPr="000D698C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69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Противодействие преступности и защита от ЧС</w:t>
                  </w:r>
                </w:p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(45,9 тыс. рублей – 0,5%)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4" style="position:absolute;margin-left:299.85pt;margin-top:240.85pt;width:460.45pt;height:67.95pt;z-index:251752448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84">
              <w:txbxContent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(826,0 тыс. рублей – 8,5%)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3" style="position:absolute;margin-left:126.15pt;margin-top:292.75pt;width:634.15pt;height:102.8pt;z-index:251751424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83">
              <w:txbxContent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7278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Социальные программы</w:t>
                  </w:r>
                </w:p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(4110,6 тыс. рублей – 42,2%)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C789B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6" style="position:absolute;margin-left:488.2pt;margin-top:21.4pt;width:272.1pt;height:128.8pt;z-index:25175449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86">
              <w:txbxContent>
                <w:p w:rsidR="00DA7EC2" w:rsidRPr="00DA7EC2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A7E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качественными жилищно-коммунальными у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слугами</w:t>
                  </w:r>
                </w:p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(617,2 тыс. рублей – 6,3%)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7" style="position:absolute;margin-left:234pt;margin-top:10.5pt;width:277.5pt;height:60.4pt;z-index:251755520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87">
              <w:txbxContent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(4053,1 тыс. рублей – 41,6%)</w:t>
                  </w:r>
                </w:p>
              </w:txbxContent>
            </v:textbox>
          </v:oval>
        </w:pict>
      </w:r>
    </w:p>
    <w:p w:rsidR="001E0D5C" w:rsidRDefault="001C789B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shape id="_x0000_s1092" type="#_x0000_t106" style="position:absolute;margin-left:-11.1pt;margin-top:19.1pt;width:254.25pt;height:145.85pt;z-index:251759616" adj="8678,26406">
            <v:textbox style="mso-next-textbox:#_x0000_s1092">
              <w:txbxContent>
                <w:p w:rsidR="00DA7EC2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DA7EC2" w:rsidRDefault="00DA7EC2" w:rsidP="00131E0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9736</w:t>
                  </w:r>
                  <w:r w:rsidRPr="000D698C"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,3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C789B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5" style="position:absolute;margin-left:243.15pt;margin-top:7.15pt;width:358.3pt;height:89.55pt;z-index:2517534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85">
              <w:txbxContent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Иные программы</w:t>
                  </w:r>
                </w:p>
                <w:p w:rsidR="00DA7EC2" w:rsidRPr="00972786" w:rsidRDefault="00DA7EC2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(83,5 тыс. рублей – 0,9%)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бюджетной системы Российской Федерации в бюджет </w:t>
      </w:r>
      <w:r w:rsidR="00DF6E9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Первомайского сельского поселения </w:t>
      </w: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131E03" w:rsidRDefault="00131E03" w:rsidP="00DF6E9C">
      <w:pPr>
        <w:pStyle w:val="a7"/>
        <w:jc w:val="right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Sect="00763C10">
      <w:headerReference w:type="default" r:id="rId22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9CC" w:rsidRDefault="00FD79CC" w:rsidP="00763C10">
      <w:pPr>
        <w:spacing w:after="0" w:line="240" w:lineRule="auto"/>
      </w:pPr>
      <w:r>
        <w:separator/>
      </w:r>
    </w:p>
  </w:endnote>
  <w:endnote w:type="continuationSeparator" w:id="1">
    <w:p w:rsidR="00FD79CC" w:rsidRDefault="00FD79CC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9CC" w:rsidRDefault="00FD79CC" w:rsidP="00763C10">
      <w:pPr>
        <w:spacing w:after="0" w:line="240" w:lineRule="auto"/>
      </w:pPr>
      <w:r>
        <w:separator/>
      </w:r>
    </w:p>
  </w:footnote>
  <w:footnote w:type="continuationSeparator" w:id="1">
    <w:p w:rsidR="00FD79CC" w:rsidRDefault="00FD79CC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EC2" w:rsidRDefault="001C789B">
    <w:pPr>
      <w:pStyle w:val="a3"/>
    </w:pPr>
    <w:r>
      <w:rPr>
        <w:noProof/>
        <w:lang w:eastAsia="ru-RU"/>
      </w:rPr>
      <w:pict>
        <v:rect id="_x0000_s2053" style="position:absolute;margin-left:763.25pt;margin-top:-18.55pt;width:43.2pt;height:27.05pt;z-index:251662336" fillcolor="#c2d69b [1942]" strokecolor="#9bbb59 [3206]" strokeweight="1pt">
          <v:fill color2="#9bbb59 [3206]" focus="50%" type="gradient"/>
          <v:shadow on="t" type="perspective" color="#4e6128 [1606]" offset="1pt" offset2="-3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DA7EC2" w:rsidRPr="00F75C1D" w:rsidRDefault="001C789B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DA7EC2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3B216B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14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DA7EC2" w:rsidRPr="00F75C1D" w:rsidRDefault="00DA7EC2" w:rsidP="00F75C1D"/>
            </w:txbxContent>
          </v:textbox>
        </v:rect>
      </w:pict>
    </w:r>
    <w:r>
      <w:rPr>
        <w:noProof/>
        <w:lang w:eastAsia="ru-RU"/>
      </w:rPr>
      <w:pict>
        <v:rect id="_x0000_s2051" style="position:absolute;margin-left:-35.45pt;margin-top:-30.4pt;width:461.6pt;height:26.8pt;z-index:251660288" fillcolor="#d99594 [1941]" strokecolor="#d99594 [1941]" strokeweight="1pt">
          <v:fill color2="#f2dbdb [661]" angle="-45" focus="-50%" type="gradient"/>
          <v:shadow on="t" type="perspective" color="#622423 [1605]" opacity=".5" offset="1pt" offset2="-3pt"/>
        </v:rect>
      </w:pict>
    </w:r>
    <w:r>
      <w:rPr>
        <w:noProof/>
        <w:lang w:eastAsia="ru-RU"/>
      </w:rPr>
      <w:pict>
        <v:rect id="_x0000_s2052" style="position:absolute;margin-left:-36.2pt;margin-top:-18.65pt;width:425.2pt;height:27.05pt;z-index:251661312" fillcolor="#c2d69b [1942]" strokecolor="#9bbb59 [3206]" strokeweight="1pt">
          <v:fill color2="#9bbb59 [3206]" focus="50%" type="gradient"/>
          <v:shadow on="t" type="perspective" color="#4e6128 [1606]" offset="1pt" offset2="-3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6.15pt;margin-top:-13.65pt;width:343.75pt;height:27.6pt;z-index:251659264" stroked="f">
          <v:textbox style="mso-next-textbox:#_x0000_s2050">
            <w:txbxContent>
              <w:p w:rsidR="00DA7EC2" w:rsidRPr="00763C10" w:rsidRDefault="00DA7EC2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Первомайское сельское поселение</w:t>
                </w:r>
              </w:p>
            </w:txbxContent>
          </v:textbox>
        </v:shape>
      </w:pict>
    </w:r>
    <w:r>
      <w:rPr>
        <w:noProof/>
        <w:lang w:eastAsia="ru-RU"/>
      </w:rPr>
      <w:pict>
        <v:rect id="_x0000_s2049" style="position:absolute;margin-left:-35.45pt;margin-top:-54.65pt;width:859pt;height:41pt;z-index:251658240" fillcolor="#548dd4 [1951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4098">
      <o:colormenu v:ext="edit" fillcolor="none [1951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6FEB"/>
    <w:rsid w:val="0000797E"/>
    <w:rsid w:val="00007FD3"/>
    <w:rsid w:val="000113CF"/>
    <w:rsid w:val="0001186F"/>
    <w:rsid w:val="0001204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4FDE"/>
    <w:rsid w:val="00106592"/>
    <w:rsid w:val="00106AAB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40C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4831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1AF1"/>
    <w:rsid w:val="00162608"/>
    <w:rsid w:val="00162FAF"/>
    <w:rsid w:val="00164F3E"/>
    <w:rsid w:val="0016516E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4593"/>
    <w:rsid w:val="00194953"/>
    <w:rsid w:val="00195173"/>
    <w:rsid w:val="00195707"/>
    <w:rsid w:val="00195F76"/>
    <w:rsid w:val="00196E20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89B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3E1A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5E9E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180A"/>
    <w:rsid w:val="002A1DE3"/>
    <w:rsid w:val="002A3A8A"/>
    <w:rsid w:val="002A3B86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3D02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C41"/>
    <w:rsid w:val="00304362"/>
    <w:rsid w:val="0030600E"/>
    <w:rsid w:val="0030693F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54EC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83C"/>
    <w:rsid w:val="00380EF7"/>
    <w:rsid w:val="00381ACD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16B"/>
    <w:rsid w:val="003B2848"/>
    <w:rsid w:val="003B2B48"/>
    <w:rsid w:val="003B3412"/>
    <w:rsid w:val="003B4F8B"/>
    <w:rsid w:val="003B536C"/>
    <w:rsid w:val="003B53B7"/>
    <w:rsid w:val="003B6472"/>
    <w:rsid w:val="003B7429"/>
    <w:rsid w:val="003B7A66"/>
    <w:rsid w:val="003C0825"/>
    <w:rsid w:val="003C13CC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278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4BA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E82"/>
    <w:rsid w:val="00603FB4"/>
    <w:rsid w:val="006057B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52C0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2F"/>
    <w:rsid w:val="007065EB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2FE7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6D6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C5A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416F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01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17C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1DE0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C024C"/>
    <w:rsid w:val="009C116B"/>
    <w:rsid w:val="009C19CF"/>
    <w:rsid w:val="009C1D7E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11B7"/>
    <w:rsid w:val="00A139C7"/>
    <w:rsid w:val="00A13C12"/>
    <w:rsid w:val="00A14C03"/>
    <w:rsid w:val="00A1547D"/>
    <w:rsid w:val="00A1577F"/>
    <w:rsid w:val="00A16955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D17"/>
    <w:rsid w:val="00B716B2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2260"/>
    <w:rsid w:val="00B95B65"/>
    <w:rsid w:val="00B95FAB"/>
    <w:rsid w:val="00B969F8"/>
    <w:rsid w:val="00B97312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178B0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1684"/>
    <w:rsid w:val="00CF2E93"/>
    <w:rsid w:val="00CF324C"/>
    <w:rsid w:val="00CF49B5"/>
    <w:rsid w:val="00CF76A0"/>
    <w:rsid w:val="00D005E4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CE1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4C9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3D3C"/>
    <w:rsid w:val="00DA4AB9"/>
    <w:rsid w:val="00DA5456"/>
    <w:rsid w:val="00DA5F8E"/>
    <w:rsid w:val="00DA7EC2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6E9C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2FE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2F43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6E68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D23"/>
    <w:rsid w:val="00FD0E93"/>
    <w:rsid w:val="00FD12F7"/>
    <w:rsid w:val="00FD2A72"/>
    <w:rsid w:val="00FD3A51"/>
    <w:rsid w:val="00FD3AA1"/>
    <w:rsid w:val="00FD3AB8"/>
    <w:rsid w:val="00FD651E"/>
    <w:rsid w:val="00FD79CC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51]"/>
    </o:shapedefaults>
    <o:shapelayout v:ext="edit">
      <o:idmap v:ext="edit" data="1"/>
      <o:rules v:ext="edit">
        <o:r id="V:Rule1" type="callout" idref="#_x0000_s1026"/>
        <o:r id="V:Rule2" type="callout" idref="#_x0000_s1098"/>
        <o:r id="V:Rule3" type="callout" idref="#_x0000_s1128"/>
        <o:r id="V:Rule4" type="callout" idref="#_x0000_s1130"/>
        <o:r id="V:Rule5" type="callout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semiHidden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styleId="-1">
    <w:name w:val="Light List Accent 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5117125660378384E-2"/>
          <c:y val="7.1236559139784952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3"/>
              <c:layout>
                <c:manualLayout>
                  <c:x val="-1.7503478402810795E-2"/>
                  <c:y val="-2.4639319278638643E-2"/>
                </c:manualLayout>
              </c:layout>
              <c:showVal val="1"/>
            </c:dLbl>
            <c:dLbl>
              <c:idx val="4"/>
              <c:layout>
                <c:manualLayout>
                  <c:x val="-7.0496666692576957E-3"/>
                  <c:y val="-2.851515536364408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- 48,18%</c:v>
                </c:pt>
                <c:pt idx="1">
                  <c:v>Налог на имущество физических лиц - 28,86%</c:v>
                </c:pt>
                <c:pt idx="2">
                  <c:v>Акцизы по подакцизным товарам - 10,03%</c:v>
                </c:pt>
                <c:pt idx="3">
                  <c:v>Единый налог на вмененный доход для отдельных видов деятельности - 0%</c:v>
                </c:pt>
                <c:pt idx="4">
                  <c:v>Налог взимаемый в связи с применением упрощенной системы налогообложения - 4,36%</c:v>
                </c:pt>
                <c:pt idx="5">
                  <c:v>Доходы от использования имущества находящегося в государственной и муниципальной собственности - 2,65%</c:v>
                </c:pt>
                <c:pt idx="6">
                  <c:v>Остальный доходы - 25,48%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4160</c:v>
                </c:pt>
                <c:pt idx="1">
                  <c:v>2492</c:v>
                </c:pt>
                <c:pt idx="2">
                  <c:v>866.1</c:v>
                </c:pt>
                <c:pt idx="4">
                  <c:v>376.4</c:v>
                </c:pt>
                <c:pt idx="5">
                  <c:v>229.1</c:v>
                </c:pt>
                <c:pt idx="6">
                  <c:v>510</c:v>
                </c:pt>
              </c:numCache>
            </c:numRef>
          </c:val>
        </c:ser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6813487652641925"/>
          <c:y val="4.3358521717043644E-2"/>
          <c:w val="0.42396778882402913"/>
          <c:h val="0.91328274489882089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dLbls>
            <c:dLbl>
              <c:idx val="0"/>
              <c:layout>
                <c:manualLayout>
                  <c:x val="1.0741859684457879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-2.4169184290030048E-2"/>
                  <c:y val="0.32064128256513025"/>
                </c:manualLayout>
              </c:layout>
              <c:showVal val="1"/>
            </c:dLbl>
            <c:dLbl>
              <c:idx val="2"/>
              <c:layout>
                <c:manualLayout>
                  <c:x val="-3.0882846592816489E-2"/>
                  <c:y val="0.28590514362057451"/>
                </c:manualLayout>
              </c:layout>
              <c:showVal val="1"/>
            </c:dLbl>
            <c:dLbl>
              <c:idx val="3"/>
              <c:layout>
                <c:manualLayout>
                  <c:x val="-1.3427324605572373E-2"/>
                  <c:y val="0.10688042752171009"/>
                </c:manualLayout>
              </c:layout>
              <c:showVal val="1"/>
            </c:dLbl>
            <c:dLbl>
              <c:idx val="4"/>
              <c:layout>
                <c:manualLayout>
                  <c:x val="-9.3991272239006638E-3"/>
                  <c:y val="0.10688021712716753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8532.4</c:v>
                </c:pt>
                <c:pt idx="1">
                  <c:v>8874.7000000000007</c:v>
                </c:pt>
                <c:pt idx="2">
                  <c:v>8633.6</c:v>
                </c:pt>
              </c:numCache>
            </c:numRef>
          </c:val>
        </c:ser>
        <c:shape val="box"/>
        <c:axId val="130095360"/>
        <c:axId val="130216704"/>
        <c:axId val="0"/>
      </c:bar3DChart>
      <c:catAx>
        <c:axId val="130095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216704"/>
        <c:crosses val="autoZero"/>
        <c:auto val="1"/>
        <c:lblAlgn val="ctr"/>
        <c:lblOffset val="100"/>
      </c:catAx>
      <c:valAx>
        <c:axId val="130216704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3009536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4089016970861283E-2"/>
          <c:y val="2.9689608636977092E-2"/>
          <c:w val="0.8373358949727826"/>
          <c:h val="0.9406207827260458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4160,0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708,0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866,1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22,1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9,</a:t>
                    </a:r>
                    <a:r>
                      <a:rPr lang="ru-RU"/>
                      <a:t>0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376,4</a:t>
                    </a:r>
                    <a:endParaRPr lang="en-US"/>
                  </a:p>
                </c:rich>
              </c:tx>
              <c:showVal val="1"/>
            </c:dLbl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Неналоговые доходы</c:v>
                </c:pt>
                <c:pt idx="2">
                  <c:v>Налоги на имущество</c:v>
                </c:pt>
                <c:pt idx="3">
                  <c:v>Акцизы по подакцизным товарам</c:v>
                </c:pt>
                <c:pt idx="4">
                  <c:v>Гос пошлина</c:v>
                </c:pt>
                <c:pt idx="5">
                  <c:v>Остальные налоговые доходы</c:v>
                </c:pt>
                <c:pt idx="6">
                  <c:v>Налог взимаемый в связи с применением упрощеннной системы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4160</c:v>
                </c:pt>
                <c:pt idx="1">
                  <c:v>708</c:v>
                </c:pt>
                <c:pt idx="2">
                  <c:v>2492</c:v>
                </c:pt>
                <c:pt idx="3">
                  <c:v>866.1</c:v>
                </c:pt>
                <c:pt idx="4">
                  <c:v>22.1</c:v>
                </c:pt>
                <c:pt idx="5">
                  <c:v>9.1</c:v>
                </c:pt>
                <c:pt idx="6">
                  <c:v>376.4</c:v>
                </c:pt>
              </c:numCache>
            </c:numRef>
          </c:val>
        </c:ser>
        <c:axId val="130415616"/>
        <c:axId val="133899008"/>
      </c:barChart>
      <c:catAx>
        <c:axId val="130415616"/>
        <c:scaling>
          <c:orientation val="minMax"/>
        </c:scaling>
        <c:delete val="1"/>
        <c:axPos val="l"/>
        <c:tickLblPos val="none"/>
        <c:crossAx val="133899008"/>
        <c:crosses val="autoZero"/>
        <c:auto val="1"/>
        <c:lblAlgn val="ctr"/>
        <c:lblOffset val="100"/>
      </c:catAx>
      <c:valAx>
        <c:axId val="133899008"/>
        <c:scaling>
          <c:orientation val="minMax"/>
        </c:scaling>
        <c:delete val="1"/>
        <c:axPos val="b"/>
        <c:numFmt formatCode="General" sourceLinked="1"/>
        <c:tickLblPos val="none"/>
        <c:crossAx val="130415616"/>
        <c:crosses val="autoZero"/>
        <c:crossBetween val="between"/>
      </c:valAx>
    </c:plotArea>
    <c:plotVisOnly val="1"/>
  </c:chart>
  <c:spPr>
    <a:noFill/>
    <a:ln>
      <a:noFill/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7677904339627504E-2"/>
          <c:y val="8.9166499642090336E-2"/>
          <c:w val="0.84652121397446745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48,2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14,94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2.3414112070942652E-3"/>
                  <c:y val="2.181073729420187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28,9%</a:t>
                    </a:r>
                    <a:endParaRPr lang="en-US"/>
                  </a:p>
                </c:rich>
              </c:tx>
              <c:showPercent val="1"/>
            </c:dLbl>
            <c:dLbl>
              <c:idx val="3"/>
              <c:layout>
                <c:manualLayout>
                  <c:x val="2.2175164997579332E-2"/>
                  <c:y val="3.053972798854708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4,4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4"/>
              <c:layout>
                <c:manualLayout>
                  <c:x val="3.0763703080804252E-2"/>
                  <c:y val="5.448169887854936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3,3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5"/>
              <c:layout>
                <c:manualLayout>
                  <c:x val="2.1324363580766025E-2"/>
                  <c:y val="-4.37001193032689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2,3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Лист1!$A$2:$A$7</c:f>
              <c:strCache>
                <c:ptCount val="6"/>
                <c:pt idx="0">
                  <c:v>НДФЛ</c:v>
                </c:pt>
                <c:pt idx="1">
                  <c:v>Неналоговые доходы</c:v>
                </c:pt>
                <c:pt idx="2">
                  <c:v>Налог на имущество</c:v>
                </c:pt>
                <c:pt idx="3">
                  <c:v>Акцизы по подакцизным товарам</c:v>
                </c:pt>
                <c:pt idx="4">
                  <c:v>Гос пошлина</c:v>
                </c:pt>
                <c:pt idx="5">
                  <c:v>Остальные налоговые доходы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4160</c:v>
                </c:pt>
                <c:pt idx="1">
                  <c:v>708</c:v>
                </c:pt>
                <c:pt idx="2">
                  <c:v>2492</c:v>
                </c:pt>
                <c:pt idx="3">
                  <c:v>866.1</c:v>
                </c:pt>
                <c:pt idx="4">
                  <c:v>22.1</c:v>
                </c:pt>
                <c:pt idx="5">
                  <c:v>9</c:v>
                </c:pt>
              </c:numCache>
            </c:numRef>
          </c:val>
        </c:ser>
      </c:pie3DChart>
    </c:plotArea>
    <c:plotVisOnly val="1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Миллеровского района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25774.9</c:v>
                </c:pt>
                <c:pt idx="1">
                  <c:v>11969.3</c:v>
                </c:pt>
                <c:pt idx="2">
                  <c:v>10343.5</c:v>
                </c:pt>
              </c:numCache>
            </c:numRef>
          </c:val>
        </c:ser>
        <c:overlap val="100"/>
        <c:axId val="146655488"/>
        <c:axId val="146637184"/>
      </c:barChart>
      <c:catAx>
        <c:axId val="1466554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637184"/>
        <c:crosses val="autoZero"/>
        <c:auto val="1"/>
        <c:lblAlgn val="ctr"/>
        <c:lblOffset val="100"/>
      </c:catAx>
      <c:valAx>
        <c:axId val="146637184"/>
        <c:scaling>
          <c:orientation val="minMax"/>
        </c:scaling>
        <c:axPos val="l"/>
        <c:numFmt formatCode="0.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46655488"/>
        <c:crosses val="autoZero"/>
        <c:crossBetween val="between"/>
      </c:valAx>
    </c:plotArea>
    <c:plotVisOnly val="1"/>
  </c:chart>
  <c:spPr>
    <a:noFill/>
    <a:ln>
      <a:noFill/>
    </a:ln>
  </c:sp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1.0862859988264523E-2"/>
                  <c:y val="-1.5685376676340661E-2"/>
                </c:manualLayout>
              </c:layout>
              <c:showVal val="1"/>
            </c:dLbl>
            <c:dLbl>
              <c:idx val="1"/>
              <c:layout>
                <c:manualLayout>
                  <c:x val="-7.5962018990504823E-2"/>
                  <c:y val="5.2287581699346688E-3"/>
                </c:manualLayout>
              </c:layout>
              <c:showVal val="1"/>
            </c:dLbl>
            <c:dLbl>
              <c:idx val="2"/>
              <c:layout>
                <c:manualLayout>
                  <c:x val="7.5874286223580431E-2"/>
                  <c:y val="-3.5926644551542833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4883.5</c:v>
                </c:pt>
                <c:pt idx="1">
                  <c:v>4736.1000000000004</c:v>
                </c:pt>
                <c:pt idx="2">
                  <c:v>3998.7</c:v>
                </c:pt>
              </c:numCache>
            </c:numRef>
          </c:val>
        </c:ser>
        <c:shape val="box"/>
        <c:axId val="146649856"/>
        <c:axId val="146658816"/>
        <c:axId val="0"/>
      </c:bar3DChart>
      <c:catAx>
        <c:axId val="1466498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6658816"/>
        <c:crosses val="autoZero"/>
        <c:auto val="1"/>
        <c:lblAlgn val="ctr"/>
        <c:lblOffset val="100"/>
      </c:catAx>
      <c:valAx>
        <c:axId val="146658816"/>
        <c:scaling>
          <c:orientation val="minMax"/>
          <c:max val="5"/>
          <c:min val="1"/>
        </c:scaling>
        <c:delete val="1"/>
        <c:axPos val="l"/>
        <c:majorGridlines/>
        <c:numFmt formatCode="General" sourceLinked="1"/>
        <c:tickLblPos val="nextTo"/>
        <c:crossAx val="146649856"/>
        <c:crosses val="autoZero"/>
        <c:crossBetween val="between"/>
        <c:majorUnit val="10000"/>
      </c:valAx>
    </c:plotArea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3809523809523903"/>
          <c:y val="0.17864077669902911"/>
          <c:w val="0.68121693121692839"/>
          <c:h val="0.666019417475732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showCatName val="1"/>
            </c:dLbl>
            <c:dLbl>
              <c:idx val="1"/>
              <c:layout>
                <c:manualLayout>
                  <c:x val="0"/>
                  <c:y val="0.2950714267512678"/>
                </c:manualLayout>
              </c:layout>
              <c:showCatName val="1"/>
            </c:dLbl>
            <c:dLbl>
              <c:idx val="2"/>
              <c:layout>
                <c:manualLayout>
                  <c:x val="0.28661823522059748"/>
                  <c:y val="5.0837091965446495E-2"/>
                </c:manualLayout>
              </c:layout>
              <c:showCatName val="1"/>
            </c:dLbl>
            <c:dLbl>
              <c:idx val="3"/>
              <c:layout>
                <c:manualLayout>
                  <c:x val="0.19550274965629341"/>
                  <c:y val="0.15167403103738294"/>
                </c:manualLayout>
              </c:layout>
              <c:showCatName val="1"/>
            </c:dLbl>
            <c:dLbl>
              <c:idx val="4"/>
              <c:layout>
                <c:manualLayout>
                  <c:x val="3.9571407740699095E-2"/>
                  <c:y val="0.14123527762913141"/>
                </c:manualLayout>
              </c:layout>
              <c:showCatName val="1"/>
            </c:dLbl>
            <c:dLbl>
              <c:idx val="5"/>
              <c:layout>
                <c:manualLayout>
                  <c:x val="-0.11785339332583396"/>
                  <c:y val="0.14552587722651167"/>
                </c:manualLayout>
              </c:layout>
              <c:showCatName val="1"/>
            </c:dLbl>
            <c:dLbl>
              <c:idx val="6"/>
              <c:layout>
                <c:manualLayout>
                  <c:x val="-9.454443194600716E-2"/>
                  <c:y val="5.0278928726142244E-2"/>
                </c:manualLayout>
              </c:layout>
              <c:showCatName val="1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CatName val="1"/>
            </c:dLbl>
            <c:dLbl>
              <c:idx val="8"/>
              <c:layout>
                <c:manualLayout>
                  <c:x val="-2.3263446235887168E-2"/>
                  <c:y val="-0.19105124480799199"/>
                </c:manualLayout>
              </c:layout>
              <c:showCatName val="1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CatName val="1"/>
            </c:dLbl>
            <c:dLbl>
              <c:idx val="11"/>
              <c:layout>
                <c:manualLayout>
                  <c:x val="1.2898804316127211E-2"/>
                  <c:y val="-2.5271666284432892E-2"/>
                </c:manualLayout>
              </c:layout>
              <c:showCatName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Лист1!$A$2:$A$7</c:f>
              <c:strCache>
                <c:ptCount val="6"/>
                <c:pt idx="0">
                  <c:v>Жилищно-коммунальное хозяйство - 678,4 тыс. рублей</c:v>
                </c:pt>
                <c:pt idx="1">
                  <c:v>Национальная экономика - 1047,1 тыс. рублей</c:v>
                </c:pt>
                <c:pt idx="2">
                  <c:v>Национальная безопасность и правоохранительная деятельность - 130,6 тыс. рублей</c:v>
                </c:pt>
                <c:pt idx="3">
                  <c:v>Общегосударственные вопросы - 4187,1 тыс. рублей</c:v>
                </c:pt>
                <c:pt idx="4">
                  <c:v>Социальная политика - 136,9 тыс. рублей</c:v>
                </c:pt>
                <c:pt idx="5">
                  <c:v>Культура, кинематография - 3998,7 тыс.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678.4</c:v>
                </c:pt>
                <c:pt idx="1">
                  <c:v>1047.0999999999999</c:v>
                </c:pt>
                <c:pt idx="2">
                  <c:v>130.6</c:v>
                </c:pt>
                <c:pt idx="3">
                  <c:v>4187.1000000000004</c:v>
                </c:pt>
                <c:pt idx="4">
                  <c:v>136.9</c:v>
                </c:pt>
                <c:pt idx="5">
                  <c:v>3998.7</c:v>
                </c:pt>
              </c:numCache>
            </c:numRef>
          </c:val>
        </c:ser>
      </c:pie3DChart>
    </c:plotArea>
    <c:plotVisOnly val="1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10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5.4193456798385484E-2"/>
                  <c:y val="-3.6379017804712636E-2"/>
                </c:manualLayout>
              </c:layout>
              <c:showVal val="1"/>
            </c:dLbl>
            <c:dLbl>
              <c:idx val="1"/>
              <c:layout>
                <c:manualLayout>
                  <c:x val="-2.5114040955349359E-2"/>
                  <c:y val="-5.7600111524128104E-2"/>
                </c:manualLayout>
              </c:layout>
              <c:showVal val="1"/>
            </c:dLbl>
            <c:dLbl>
              <c:idx val="2"/>
              <c:layout>
                <c:manualLayout>
                  <c:x val="9.0415216124549898E-3"/>
                  <c:y val="-7.2768160521189562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17370.400000000001</c:v>
                </c:pt>
                <c:pt idx="1">
                  <c:v>2813.1</c:v>
                </c:pt>
                <c:pt idx="2">
                  <c:v>1690.6</c:v>
                </c:pt>
              </c:numCache>
            </c:numRef>
          </c:val>
        </c:ser>
        <c:shape val="cylinder"/>
        <c:axId val="147384960"/>
        <c:axId val="147386752"/>
        <c:axId val="0"/>
      </c:bar3DChart>
      <c:catAx>
        <c:axId val="1473849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386752"/>
        <c:crosses val="autoZero"/>
        <c:auto val="1"/>
        <c:lblAlgn val="ctr"/>
        <c:lblOffset val="100"/>
      </c:catAx>
      <c:valAx>
        <c:axId val="1473867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384960"/>
        <c:crosses val="autoZero"/>
        <c:crossBetween val="between"/>
      </c:valAx>
    </c:plotArea>
    <c:plotVisOnly val="1"/>
  </c:chart>
  <c:spPr>
    <a:noFill/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0.08916</cdr:x>
      <cdr:y>0.04612</cdr:y>
    </cdr:from>
    <cdr:to>
      <cdr:x>0.98926</cdr:x>
      <cdr:y>0.13376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4055" y="216990"/>
          <a:ext cx="8924964" cy="4124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Налог, взимаемый в связи с применением упрощеннной системы</a:t>
          </a:r>
        </a:p>
      </cdr:txBody>
    </cdr:sp>
  </cdr:relSizeAnchor>
  <cdr:relSizeAnchor xmlns:cdr="http://schemas.openxmlformats.org/drawingml/2006/chartDrawing">
    <cdr:from>
      <cdr:x>0.08357</cdr:x>
      <cdr:y>0.19636</cdr:y>
    </cdr:from>
    <cdr:to>
      <cdr:x>0.98367</cdr:x>
      <cdr:y>0.2753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28675" y="923924"/>
          <a:ext cx="892492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Остальные налоговые доходы</a:t>
          </a:r>
        </a:p>
      </cdr:txBody>
    </cdr:sp>
  </cdr:relSizeAnchor>
  <cdr:relSizeAnchor xmlns:cdr="http://schemas.openxmlformats.org/drawingml/2006/chartDrawing">
    <cdr:from>
      <cdr:x>0.08117</cdr:x>
      <cdr:y>0.31936</cdr:y>
    </cdr:from>
    <cdr:to>
      <cdr:x>0.98127</cdr:x>
      <cdr:y>0.39426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04889" y="1502706"/>
          <a:ext cx="8924964" cy="3524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 пошлина</a:t>
          </a:r>
        </a:p>
      </cdr:txBody>
    </cdr:sp>
  </cdr:relSizeAnchor>
  <cdr:relSizeAnchor xmlns:cdr="http://schemas.openxmlformats.org/drawingml/2006/chartDrawing">
    <cdr:from>
      <cdr:x>0.08453</cdr:x>
      <cdr:y>0.44671</cdr:y>
    </cdr:from>
    <cdr:to>
      <cdr:x>0.98463</cdr:x>
      <cdr:y>0.54453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38159" y="2101933"/>
          <a:ext cx="8924964" cy="4602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0.08503</cdr:x>
      <cdr:y>0.58804</cdr:y>
    </cdr:from>
    <cdr:to>
      <cdr:x>0.98367</cdr:x>
      <cdr:y>0.68421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43148" y="2766950"/>
          <a:ext cx="8910456" cy="4524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Налоги на имущество</a:t>
          </a:r>
        </a:p>
      </cdr:txBody>
    </cdr:sp>
  </cdr:relSizeAnchor>
  <cdr:relSizeAnchor xmlns:cdr="http://schemas.openxmlformats.org/drawingml/2006/chartDrawing">
    <cdr:from>
      <cdr:x>0.08213</cdr:x>
      <cdr:y>0.71616</cdr:y>
    </cdr:from>
    <cdr:to>
      <cdr:x>0.98223</cdr:x>
      <cdr:y>0.79308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14409" y="3369764"/>
          <a:ext cx="8924964" cy="3619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0.08453</cdr:x>
      <cdr:y>0.87247</cdr:y>
    </cdr:from>
    <cdr:to>
      <cdr:x>0.98463</cdr:x>
      <cdr:y>0.95344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38200" y="4105275"/>
          <a:ext cx="892492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НДФЛ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0.70583</cdr:x>
      <cdr:y>0.81636</cdr:y>
    </cdr:from>
    <cdr:to>
      <cdr:x>0.98058</cdr:x>
      <cdr:y>1</cdr:y>
    </cdr:to>
    <cdr:sp macro="" textlink="">
      <cdr:nvSpPr>
        <cdr:cNvPr id="2" name="Выноска 1 (без границы) 1"/>
        <cdr:cNvSpPr/>
      </cdr:nvSpPr>
      <cdr:spPr>
        <a:xfrm xmlns:a="http://schemas.openxmlformats.org/drawingml/2006/main">
          <a:off x="6924675" y="4276725"/>
          <a:ext cx="2695575" cy="962025"/>
        </a:xfrm>
        <a:prstGeom xmlns:a="http://schemas.openxmlformats.org/drawingml/2006/main" prst="callout1">
          <a:avLst>
            <a:gd name="adj1" fmla="val -1798"/>
            <a:gd name="adj2" fmla="val 42180"/>
            <a:gd name="adj3" fmla="val -152169"/>
            <a:gd name="adj4" fmla="val -1519"/>
          </a:avLst>
        </a:prstGeom>
        <a:noFill xmlns:a="http://schemas.openxmlformats.org/drawingml/2006/main"/>
        <a:ln xmlns:a="http://schemas.openxmlformats.org/drawingml/2006/main">
          <a:solidFill>
            <a:schemeClr val="accent1">
              <a:shade val="50000"/>
            </a:schemeClr>
          </a:solidFill>
          <a:headEnd type="none"/>
          <a:tailEnd type="oval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0.00777</cdr:x>
      <cdr:y>0.15636</cdr:y>
    </cdr:from>
    <cdr:to>
      <cdr:x>0.18738</cdr:x>
      <cdr:y>0.29818</cdr:y>
    </cdr:to>
    <cdr:sp macro="" textlink="">
      <cdr:nvSpPr>
        <cdr:cNvPr id="3" name="Выноска 1 (без границы) 2"/>
        <cdr:cNvSpPr/>
      </cdr:nvSpPr>
      <cdr:spPr>
        <a:xfrm xmlns:a="http://schemas.openxmlformats.org/drawingml/2006/main">
          <a:off x="76230" y="819131"/>
          <a:ext cx="1762108" cy="742959"/>
        </a:xfrm>
        <a:prstGeom xmlns:a="http://schemas.openxmlformats.org/drawingml/2006/main" prst="callout1">
          <a:avLst>
            <a:gd name="adj1" fmla="val 24339"/>
            <a:gd name="adj2" fmla="val 82799"/>
            <a:gd name="adj3" fmla="val 4128"/>
            <a:gd name="adj4" fmla="val 18045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Остальные налоговые доходы</a:t>
          </a:r>
        </a:p>
      </cdr:txBody>
    </cdr:sp>
  </cdr:relSizeAnchor>
  <cdr:relSizeAnchor xmlns:cdr="http://schemas.openxmlformats.org/drawingml/2006/chartDrawing">
    <cdr:from>
      <cdr:x>0.53883</cdr:x>
      <cdr:y>0</cdr:y>
    </cdr:from>
    <cdr:to>
      <cdr:x>0.98544</cdr:x>
      <cdr:y>0.18364</cdr:y>
    </cdr:to>
    <cdr:sp macro="" textlink="">
      <cdr:nvSpPr>
        <cdr:cNvPr id="4" name="Выноска 1 (без границы) 3"/>
        <cdr:cNvSpPr/>
      </cdr:nvSpPr>
      <cdr:spPr>
        <a:xfrm xmlns:a="http://schemas.openxmlformats.org/drawingml/2006/main">
          <a:off x="5286375" y="0"/>
          <a:ext cx="4381500" cy="962025"/>
        </a:xfrm>
        <a:prstGeom xmlns:a="http://schemas.openxmlformats.org/drawingml/2006/main" prst="callout1">
          <a:avLst>
            <a:gd name="adj1" fmla="val 50677"/>
            <a:gd name="adj2" fmla="val 5326"/>
            <a:gd name="adj3" fmla="val 64663"/>
            <a:gd name="adj4" fmla="val -10193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Налог, взимаемый в связи с применением упрощенной системы налогообложения</a:t>
          </a:r>
        </a:p>
      </cdr:txBody>
    </cdr:sp>
  </cdr:relSizeAnchor>
  <cdr:relSizeAnchor xmlns:cdr="http://schemas.openxmlformats.org/drawingml/2006/chartDrawing">
    <cdr:from>
      <cdr:x>0.21262</cdr:x>
      <cdr:y>0</cdr:y>
    </cdr:from>
    <cdr:to>
      <cdr:x>0.40388</cdr:x>
      <cdr:y>0.06</cdr:y>
    </cdr:to>
    <cdr:sp macro="" textlink="">
      <cdr:nvSpPr>
        <cdr:cNvPr id="5" name="Выноска 1 (без границы) 4"/>
        <cdr:cNvSpPr/>
      </cdr:nvSpPr>
      <cdr:spPr>
        <a:xfrm xmlns:a="http://schemas.openxmlformats.org/drawingml/2006/main">
          <a:off x="2085975" y="0"/>
          <a:ext cx="1876425" cy="314325"/>
        </a:xfrm>
        <a:prstGeom xmlns:a="http://schemas.openxmlformats.org/drawingml/2006/main" prst="callout1">
          <a:avLst>
            <a:gd name="adj1" fmla="val 56390"/>
            <a:gd name="adj2" fmla="val 88746"/>
            <a:gd name="adj3" fmla="val 200617"/>
            <a:gd name="adj4" fmla="val 12454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Гос пошлина</a:t>
          </a:r>
        </a:p>
      </cdr:txBody>
    </cdr:sp>
  </cdr:relSizeAnchor>
  <cdr:relSizeAnchor xmlns:cdr="http://schemas.openxmlformats.org/drawingml/2006/chartDrawing">
    <cdr:from>
      <cdr:x>0</cdr:x>
      <cdr:y>0.03636</cdr:y>
    </cdr:from>
    <cdr:to>
      <cdr:x>0.25825</cdr:x>
      <cdr:y>0.15455</cdr:y>
    </cdr:to>
    <cdr:sp macro="" textlink="">
      <cdr:nvSpPr>
        <cdr:cNvPr id="6" name="Выноска 1 (без границы) 5"/>
        <cdr:cNvSpPr/>
      </cdr:nvSpPr>
      <cdr:spPr>
        <a:xfrm xmlns:a="http://schemas.openxmlformats.org/drawingml/2006/main">
          <a:off x="0" y="190481"/>
          <a:ext cx="2533626" cy="619168"/>
        </a:xfrm>
        <a:prstGeom xmlns:a="http://schemas.openxmlformats.org/drawingml/2006/main" prst="callout1">
          <a:avLst>
            <a:gd name="adj1" fmla="val 33315"/>
            <a:gd name="adj2" fmla="val 74198"/>
            <a:gd name="adj3" fmla="val 75665"/>
            <a:gd name="adj4" fmla="val 140325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0.06311</cdr:x>
      <cdr:y>0.81636</cdr:y>
    </cdr:from>
    <cdr:to>
      <cdr:x>0.50971</cdr:x>
      <cdr:y>1</cdr:y>
    </cdr:to>
    <cdr:sp macro="" textlink="">
      <cdr:nvSpPr>
        <cdr:cNvPr id="7" name="Выноска 1 (без границы) 6"/>
        <cdr:cNvSpPr/>
      </cdr:nvSpPr>
      <cdr:spPr>
        <a:xfrm xmlns:a="http://schemas.openxmlformats.org/drawingml/2006/main">
          <a:off x="619156" y="4276706"/>
          <a:ext cx="4381481" cy="962044"/>
        </a:xfrm>
        <a:prstGeom xmlns:a="http://schemas.openxmlformats.org/drawingml/2006/main" prst="callout1">
          <a:avLst>
            <a:gd name="adj1" fmla="val 5133"/>
            <a:gd name="adj2" fmla="val 9021"/>
            <a:gd name="adj3" fmla="val -211573"/>
            <a:gd name="adj4" fmla="val 18720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l"/>
          <a:r>
            <a:rPr lang="ru-RU" sz="18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Налоги на имущество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0.16829</cdr:x>
      <cdr:y>0.30986</cdr:y>
    </cdr:from>
    <cdr:to>
      <cdr:x>0.26167</cdr:x>
      <cdr:y>0.38229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647825" y="1466850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0.31518</cdr:x>
      <cdr:y>0.19718</cdr:y>
    </cdr:from>
    <cdr:to>
      <cdr:x>0.40856</cdr:x>
      <cdr:y>0.26962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3086100" y="933450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0.48054</cdr:x>
      <cdr:y>0.10262</cdr:y>
    </cdr:from>
    <cdr:to>
      <cdr:x>0.57393</cdr:x>
      <cdr:y>0.17505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4705350" y="485775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0.61187</cdr:x>
      <cdr:y>0.08249</cdr:y>
    </cdr:from>
    <cdr:to>
      <cdr:x>0.70525</cdr:x>
      <cdr:y>0.15493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5991225" y="390525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0.78891</cdr:x>
      <cdr:y>0</cdr:y>
    </cdr:from>
    <cdr:to>
      <cdr:x>0.8823</cdr:x>
      <cdr:y>0.07243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7724775" y="0"/>
          <a:ext cx="91440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1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44080F-9CA8-4A2B-93D1-7707F4E57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Первомайское сп</cp:lastModifiedBy>
  <cp:revision>55</cp:revision>
  <cp:lastPrinted>2016-04-15T07:23:00Z</cp:lastPrinted>
  <dcterms:created xsi:type="dcterms:W3CDTF">2016-04-14T06:43:00Z</dcterms:created>
  <dcterms:modified xsi:type="dcterms:W3CDTF">2016-04-27T13:59:00Z</dcterms:modified>
</cp:coreProperties>
</file>